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项目编号：</w:t>
      </w:r>
      <w:r>
        <w:rPr>
          <w:rFonts w:ascii="黑体" w:hAnsi="宋体" w:eastAsia="黑体"/>
          <w:sz w:val="36"/>
          <w:szCs w:val="36"/>
          <w:highlight w:val="none"/>
        </w:rPr>
        <w:t xml:space="preserve"> </w:t>
      </w:r>
      <w:r>
        <w:rPr>
          <w:rFonts w:hint="eastAsia" w:ascii="黑体" w:hAnsi="宋体" w:eastAsia="黑体"/>
          <w:sz w:val="36"/>
          <w:szCs w:val="36"/>
          <w:highlight w:val="none"/>
          <w:lang w:val="en-US" w:eastAsia="zh-CN"/>
        </w:rPr>
        <w:t>GHK-XM-202401</w:t>
      </w:r>
      <w:r>
        <w:rPr>
          <w:rFonts w:ascii="黑体" w:hAnsi="宋体" w:eastAsia="黑体"/>
          <w:sz w:val="36"/>
          <w:szCs w:val="36"/>
          <w:highlight w:val="none"/>
        </w:rPr>
        <w:t xml:space="preserve"> </w:t>
      </w:r>
    </w:p>
    <w:p>
      <w:pPr>
        <w:spacing w:line="480" w:lineRule="auto"/>
        <w:ind w:left="800" w:leftChars="400" w:firstLine="720" w:firstLineChars="200"/>
        <w:rPr>
          <w:rFonts w:hint="eastAsia" w:ascii="黑体" w:hAnsi="宋体" w:eastAsia="黑体"/>
          <w:sz w:val="36"/>
          <w:szCs w:val="36"/>
          <w:highlight w:val="none"/>
        </w:rPr>
      </w:pPr>
      <w:r>
        <w:rPr>
          <w:rFonts w:hint="eastAsia" w:ascii="黑体" w:hAnsi="宋体" w:eastAsia="黑体"/>
          <w:sz w:val="36"/>
          <w:szCs w:val="36"/>
          <w:highlight w:val="none"/>
        </w:rPr>
        <w:t>项目名称：都市圈慢病防控云平台维保</w:t>
      </w:r>
    </w:p>
    <w:p>
      <w:pPr>
        <w:spacing w:line="480" w:lineRule="auto"/>
        <w:ind w:left="800" w:leftChars="400" w:firstLine="720" w:firstLineChars="200"/>
        <w:rPr>
          <w:rFonts w:hint="default" w:ascii="黑体" w:hAnsi="宋体" w:eastAsia="黑体"/>
          <w:sz w:val="36"/>
          <w:szCs w:val="36"/>
          <w:highlight w:val="none"/>
          <w:lang w:val="en-US" w:eastAsia="zh-CN"/>
        </w:rPr>
      </w:pPr>
      <w:r>
        <w:rPr>
          <w:rFonts w:hint="eastAsia" w:ascii="黑体" w:hAnsi="宋体" w:eastAsia="黑体"/>
          <w:sz w:val="36"/>
          <w:szCs w:val="36"/>
          <w:highlight w:val="none"/>
        </w:rPr>
        <w:t>采 购 人：</w:t>
      </w:r>
      <w:r>
        <w:rPr>
          <w:rFonts w:hint="eastAsia" w:ascii="黑体" w:hAnsi="宋体" w:eastAsia="黑体"/>
          <w:sz w:val="36"/>
          <w:szCs w:val="36"/>
          <w:highlight w:val="none"/>
          <w:lang w:val="en-US" w:eastAsia="zh-CN"/>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spacing w:line="360" w:lineRule="auto"/>
        <w:jc w:val="center"/>
        <w:rPr>
          <w:rFonts w:hint="eastAsia" w:ascii="黑体" w:hAnsi="宋体" w:eastAsia="黑体"/>
          <w:b/>
          <w:bCs/>
          <w:sz w:val="44"/>
          <w:szCs w:val="44"/>
          <w:highlight w:val="none"/>
          <w:lang w:eastAsia="zh-CN"/>
        </w:rPr>
      </w:pPr>
    </w:p>
    <w:p>
      <w:pPr>
        <w:autoSpaceDE w:val="0"/>
        <w:autoSpaceDN w:val="0"/>
        <w:adjustRightInd w:val="0"/>
        <w:spacing w:line="360" w:lineRule="auto"/>
        <w:jc w:val="center"/>
        <w:rPr>
          <w:rFonts w:ascii="宋体" w:hAnsi="宋体"/>
          <w:b/>
          <w:bCs/>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val="en-US" w:eastAsia="zh-CN"/>
        </w:rPr>
        <w:t>四</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eastAsia="zh-CN"/>
        </w:rPr>
        <w:t>三</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2" w:firstLineChars="200"/>
        <w:jc w:val="left"/>
        <w:rPr>
          <w:rFonts w:ascii="宋体" w:hAnsi="宋体" w:eastAsia="宋体"/>
          <w:sz w:val="24"/>
          <w:szCs w:val="24"/>
          <w:highlight w:val="none"/>
        </w:rPr>
      </w:pPr>
      <w:r>
        <w:rPr>
          <w:rFonts w:hint="eastAsia" w:ascii="宋体" w:hAnsi="宋体" w:eastAsia="宋体"/>
          <w:b/>
          <w:sz w:val="24"/>
          <w:szCs w:val="24"/>
          <w:highlight w:val="none"/>
          <w:lang w:eastAsia="zh-CN"/>
        </w:rPr>
        <w:t>南京市卫生信息中心</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都市圈慢病防控云平台维保</w:t>
      </w:r>
      <w:r>
        <w:rPr>
          <w:rFonts w:hint="eastAsia" w:ascii="宋体" w:hAnsi="宋体" w:eastAsia="宋体"/>
          <w:sz w:val="24"/>
          <w:szCs w:val="24"/>
          <w:highlight w:val="none"/>
          <w:u w:val="single"/>
          <w:lang w:val="en-US" w:eastAsia="zh-CN"/>
        </w:rPr>
        <w:t xml:space="preserve"> </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bCs/>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hint="default" w:ascii="宋体" w:hAnsi="宋体" w:eastAsia="宋体"/>
          <w:b/>
          <w:bCs/>
          <w:sz w:val="24"/>
          <w:szCs w:val="24"/>
          <w:highlight w:val="none"/>
          <w:u w:val="single"/>
          <w:lang w:val="en-US" w:eastAsia="zh-CN"/>
        </w:rPr>
      </w:pPr>
      <w:r>
        <w:rPr>
          <w:rFonts w:hint="eastAsia" w:ascii="宋体" w:hAnsi="宋体" w:eastAsia="宋体"/>
          <w:b/>
          <w:bCs/>
          <w:sz w:val="24"/>
          <w:szCs w:val="24"/>
          <w:highlight w:val="none"/>
        </w:rPr>
        <w:t>1、项目编号：</w:t>
      </w:r>
      <w:r>
        <w:rPr>
          <w:rFonts w:hint="eastAsia" w:ascii="宋体" w:hAnsi="宋体" w:eastAsia="宋体"/>
          <w:b/>
          <w:bCs/>
          <w:sz w:val="24"/>
          <w:szCs w:val="24"/>
          <w:highlight w:val="none"/>
          <w:lang w:val="en-US" w:eastAsia="zh-CN"/>
        </w:rPr>
        <w:t xml:space="preserve">  </w:t>
      </w:r>
    </w:p>
    <w:p>
      <w:pPr>
        <w:widowControl/>
        <w:tabs>
          <w:tab w:val="left" w:pos="7005"/>
        </w:tabs>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2、项目内容：</w:t>
      </w:r>
      <w:r>
        <w:rPr>
          <w:rFonts w:hint="eastAsia"/>
          <w:b/>
          <w:bCs/>
          <w:sz w:val="24"/>
          <w:szCs w:val="24"/>
          <w:highlight w:val="none"/>
        </w:rPr>
        <w:t>都市圈慢病防控云平台维保</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rPr>
        <w:t xml:space="preserve"> </w:t>
      </w:r>
      <w:r>
        <w:rPr>
          <w:rFonts w:hint="eastAsia" w:ascii="宋体" w:hAnsi="宋体" w:eastAsia="宋体"/>
          <w:b/>
          <w:sz w:val="24"/>
          <w:szCs w:val="24"/>
          <w:highlight w:val="none"/>
          <w:u w:val="single"/>
          <w:lang w:val="en-US" w:eastAsia="zh-CN"/>
        </w:rPr>
        <w:t>7.85</w:t>
      </w:r>
      <w:r>
        <w:rPr>
          <w:rFonts w:ascii="宋体" w:hAnsi="宋体" w:eastAsia="宋体"/>
          <w:b/>
          <w:sz w:val="24"/>
          <w:szCs w:val="24"/>
          <w:highlight w:val="none"/>
          <w:u w:val="single"/>
          <w:lang w:val="en-US"/>
        </w:rPr>
        <w:t xml:space="preserve"> </w:t>
      </w:r>
      <w:r>
        <w:rPr>
          <w:rFonts w:hint="eastAsia" w:ascii="宋体" w:hAnsi="宋体" w:eastAsia="宋体"/>
          <w:bCs/>
          <w:sz w:val="24"/>
          <w:szCs w:val="24"/>
          <w:highlight w:val="none"/>
          <w:lang w:val="en-US"/>
        </w:rPr>
        <w:t>万元，</w:t>
      </w:r>
      <w:r>
        <w:rPr>
          <w:rFonts w:ascii="宋体" w:hAnsi="宋体" w:eastAsia="宋体"/>
          <w:sz w:val="24"/>
          <w:highlight w:val="none"/>
        </w:rPr>
        <w:t>报价超过项目预算的为无效响应文件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w:t>
      </w:r>
      <w:r>
        <w:rPr>
          <w:rFonts w:hint="default"/>
          <w:bCs/>
          <w:color w:val="000000"/>
          <w:sz w:val="24"/>
          <w:szCs w:val="24"/>
          <w:highlight w:val="none"/>
        </w:rPr>
        <w:t>重大税收违法失信主体</w:t>
      </w:r>
      <w:r>
        <w:rPr>
          <w:rFonts w:hint="eastAsia"/>
          <w:bCs/>
          <w:color w:val="000000"/>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w:t>
      </w:r>
      <w:r>
        <w:rPr>
          <w:rFonts w:hint="eastAsia" w:ascii="宋体" w:hAnsi="宋体" w:eastAsia="宋体"/>
          <w:b/>
          <w:bCs/>
          <w:sz w:val="24"/>
          <w:szCs w:val="24"/>
          <w:highlight w:val="none"/>
          <w:lang w:val="en-US" w:eastAsia="zh-CN"/>
        </w:rPr>
        <w:t>受</w:t>
      </w:r>
      <w:r>
        <w:rPr>
          <w:rFonts w:ascii="宋体" w:hAnsi="宋体" w:eastAsia="宋体"/>
          <w:b/>
          <w:bCs/>
          <w:sz w:val="24"/>
          <w:szCs w:val="24"/>
          <w:highlight w:val="none"/>
          <w:lang w:val="en-US"/>
        </w:rPr>
        <w:t>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autoSpaceDE w:val="0"/>
        <w:autoSpaceDN w:val="0"/>
        <w:spacing w:line="360" w:lineRule="auto"/>
        <w:jc w:val="left"/>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采购</w:t>
      </w:r>
      <w:r>
        <w:rPr>
          <w:rFonts w:hint="eastAsia" w:ascii="宋体" w:hAnsi="宋体" w:eastAsia="宋体"/>
          <w:b/>
          <w:bCs/>
          <w:sz w:val="24"/>
          <w:szCs w:val="24"/>
          <w:highlight w:val="none"/>
        </w:rPr>
        <w:t>文件获取</w:t>
      </w:r>
      <w:r>
        <w:rPr>
          <w:rFonts w:hint="eastAsia" w:ascii="宋体" w:hAnsi="宋体" w:eastAsia="宋体"/>
          <w:b/>
          <w:bCs/>
          <w:sz w:val="24"/>
          <w:szCs w:val="24"/>
          <w:highlight w:val="none"/>
          <w:lang w:val="en-US"/>
        </w:rPr>
        <w:t>：投标截止时间前，</w:t>
      </w:r>
      <w:r>
        <w:rPr>
          <w:rFonts w:hint="eastAsia" w:ascii="宋体" w:hAnsi="宋体" w:eastAsia="宋体"/>
          <w:b/>
          <w:bCs/>
          <w:sz w:val="24"/>
          <w:szCs w:val="24"/>
          <w:highlight w:val="none"/>
          <w:lang w:val="en-US" w:eastAsia="zh-CN"/>
        </w:rPr>
        <w:t>南京卫生12320网</w:t>
      </w:r>
      <w:r>
        <w:rPr>
          <w:rFonts w:hint="eastAsia" w:ascii="宋体" w:hAnsi="宋体" w:eastAsia="宋体"/>
          <w:b/>
          <w:bCs/>
          <w:sz w:val="18"/>
          <w:szCs w:val="18"/>
          <w:highlight w:val="none"/>
          <w:lang w:val="en-US"/>
        </w:rPr>
        <w:t>（</w:t>
      </w:r>
      <w:r>
        <w:rPr>
          <w:rFonts w:ascii="宋体" w:hAnsi="宋体" w:eastAsia="宋体"/>
          <w:b/>
          <w:bCs/>
          <w:sz w:val="18"/>
          <w:szCs w:val="18"/>
          <w:highlight w:val="none"/>
          <w:lang w:val="en-US"/>
        </w:rPr>
        <w:t>https://www.</w:t>
      </w:r>
      <w:r>
        <w:rPr>
          <w:rFonts w:hint="eastAsia" w:ascii="宋体" w:hAnsi="宋体" w:eastAsia="宋体"/>
          <w:b/>
          <w:bCs/>
          <w:sz w:val="18"/>
          <w:szCs w:val="18"/>
          <w:highlight w:val="none"/>
          <w:lang w:val="en-US" w:eastAsia="zh-CN"/>
        </w:rPr>
        <w:t>nj12320.org</w:t>
      </w:r>
      <w:r>
        <w:rPr>
          <w:rFonts w:hint="eastAsia" w:ascii="宋体" w:hAnsi="宋体" w:eastAsia="宋体"/>
          <w:b/>
          <w:bCs/>
          <w:sz w:val="18"/>
          <w:szCs w:val="18"/>
          <w:highlight w:val="none"/>
          <w:lang w:val="en-US"/>
        </w:rPr>
        <w:t>）</w:t>
      </w:r>
      <w:r>
        <w:rPr>
          <w:rFonts w:hint="eastAsia" w:ascii="宋体" w:hAnsi="宋体" w:eastAsia="宋体"/>
          <w:b/>
          <w:bCs/>
          <w:sz w:val="24"/>
          <w:szCs w:val="24"/>
          <w:highlight w:val="none"/>
          <w:lang w:val="en-US"/>
        </w:rPr>
        <w:t>免费下载</w:t>
      </w:r>
      <w:r>
        <w:rPr>
          <w:rFonts w:hint="eastAsia" w:ascii="宋体" w:hAnsi="宋体" w:eastAsia="宋体"/>
          <w:b/>
          <w:bCs/>
          <w:sz w:val="24"/>
          <w:szCs w:val="24"/>
          <w:highlight w:val="none"/>
          <w:lang w:val="en-US" w:eastAsia="zh-CN"/>
        </w:rPr>
        <w:t>。</w:t>
      </w:r>
    </w:p>
    <w:p>
      <w:pPr>
        <w:numPr>
          <w:ilvl w:val="0"/>
          <w:numId w:val="5"/>
        </w:num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lang w:val="en-US"/>
        </w:rPr>
        <w:t>投标</w:t>
      </w:r>
      <w:r>
        <w:rPr>
          <w:rFonts w:hint="eastAsia" w:ascii="宋体" w:hAnsi="宋体" w:eastAsia="宋体"/>
          <w:b/>
          <w:bCs/>
          <w:color w:val="000000"/>
          <w:sz w:val="24"/>
          <w:szCs w:val="24"/>
          <w:highlight w:val="none"/>
        </w:rPr>
        <w:t>：</w:t>
      </w:r>
    </w:p>
    <w:p>
      <w:pPr>
        <w:autoSpaceDE w:val="0"/>
        <w:autoSpaceDN w:val="0"/>
        <w:spacing w:line="360" w:lineRule="auto"/>
        <w:rPr>
          <w:rFonts w:hint="eastAsia"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10.1投标开始时间：202</w:t>
      </w:r>
      <w:r>
        <w:rPr>
          <w:rFonts w:hint="eastAsia" w:ascii="宋体" w:hAnsi="宋体" w:eastAsia="宋体"/>
          <w:b/>
          <w:bCs/>
          <w:spacing w:val="-6"/>
          <w:sz w:val="24"/>
          <w:szCs w:val="24"/>
          <w:highlight w:val="none"/>
          <w:lang w:val="en-US" w:eastAsia="zh-CN"/>
        </w:rPr>
        <w:t>4</w:t>
      </w:r>
      <w:r>
        <w:rPr>
          <w:rFonts w:hint="eastAsia" w:ascii="宋体" w:hAnsi="宋体" w:eastAsia="宋体"/>
          <w:b/>
          <w:bCs/>
          <w:spacing w:val="-6"/>
          <w:sz w:val="24"/>
          <w:szCs w:val="24"/>
          <w:highlight w:val="none"/>
          <w:lang w:val="en-US"/>
        </w:rPr>
        <w:t>年</w:t>
      </w:r>
      <w:r>
        <w:rPr>
          <w:rFonts w:hint="eastAsia" w:ascii="宋体" w:hAnsi="宋体" w:eastAsia="宋体"/>
          <w:b/>
          <w:bCs/>
          <w:spacing w:val="-6"/>
          <w:sz w:val="24"/>
          <w:szCs w:val="24"/>
          <w:highlight w:val="none"/>
          <w:lang w:val="en-US" w:eastAsia="zh-CN"/>
        </w:rPr>
        <w:t>3</w:t>
      </w:r>
      <w:r>
        <w:rPr>
          <w:rFonts w:hint="eastAsia" w:ascii="宋体" w:hAnsi="宋体" w:eastAsia="宋体"/>
          <w:b/>
          <w:bCs/>
          <w:spacing w:val="-6"/>
          <w:sz w:val="24"/>
          <w:szCs w:val="24"/>
          <w:highlight w:val="none"/>
          <w:lang w:val="en-US"/>
        </w:rPr>
        <w:t>月</w:t>
      </w:r>
      <w:r>
        <w:rPr>
          <w:rFonts w:hint="eastAsia" w:ascii="宋体" w:hAnsi="宋体" w:eastAsia="宋体"/>
          <w:b/>
          <w:bCs/>
          <w:spacing w:val="-6"/>
          <w:sz w:val="24"/>
          <w:szCs w:val="24"/>
          <w:highlight w:val="none"/>
          <w:lang w:val="en-US" w:eastAsia="zh-CN"/>
        </w:rPr>
        <w:t>11</w:t>
      </w:r>
      <w:r>
        <w:rPr>
          <w:rFonts w:hint="eastAsia" w:ascii="宋体" w:hAnsi="宋体" w:eastAsia="宋体"/>
          <w:b/>
          <w:bCs/>
          <w:spacing w:val="-6"/>
          <w:sz w:val="24"/>
          <w:szCs w:val="24"/>
          <w:highlight w:val="none"/>
          <w:lang w:val="en-US"/>
        </w:rPr>
        <w:t>日</w:t>
      </w:r>
      <w:r>
        <w:rPr>
          <w:rFonts w:hint="eastAsia" w:ascii="宋体" w:hAnsi="宋体" w:eastAsia="宋体"/>
          <w:b/>
          <w:bCs/>
          <w:spacing w:val="-6"/>
          <w:sz w:val="24"/>
          <w:szCs w:val="24"/>
          <w:highlight w:val="none"/>
          <w:lang w:val="en-US" w:eastAsia="zh-CN"/>
        </w:rPr>
        <w:t>10</w:t>
      </w:r>
      <w:r>
        <w:rPr>
          <w:rFonts w:hint="eastAsia" w:ascii="宋体" w:hAnsi="宋体" w:eastAsia="宋体"/>
          <w:b/>
          <w:bCs/>
          <w:spacing w:val="-6"/>
          <w:sz w:val="24"/>
          <w:szCs w:val="24"/>
          <w:highlight w:val="none"/>
          <w:lang w:val="en-US"/>
        </w:rPr>
        <w:t>时</w:t>
      </w:r>
      <w:r>
        <w:rPr>
          <w:rFonts w:hint="eastAsia" w:ascii="宋体" w:hAnsi="宋体" w:eastAsia="宋体"/>
          <w:b/>
          <w:bCs/>
          <w:spacing w:val="-6"/>
          <w:sz w:val="24"/>
          <w:szCs w:val="24"/>
          <w:highlight w:val="none"/>
          <w:lang w:val="en-US" w:eastAsia="zh-CN"/>
        </w:rPr>
        <w:t>0</w:t>
      </w:r>
      <w:r>
        <w:rPr>
          <w:rFonts w:hint="eastAsia" w:ascii="宋体" w:hAnsi="宋体" w:eastAsia="宋体"/>
          <w:b/>
          <w:bCs/>
          <w:spacing w:val="-6"/>
          <w:sz w:val="24"/>
          <w:szCs w:val="24"/>
          <w:highlight w:val="none"/>
          <w:lang w:val="en-US"/>
        </w:rPr>
        <w:t>分；</w:t>
      </w:r>
    </w:p>
    <w:p>
      <w:pPr>
        <w:autoSpaceDE w:val="0"/>
        <w:autoSpaceDN w:val="0"/>
        <w:spacing w:line="360" w:lineRule="auto"/>
        <w:rPr>
          <w:rFonts w:hint="eastAsia"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 xml:space="preserve">    投标截止时间：202</w:t>
      </w:r>
      <w:r>
        <w:rPr>
          <w:rFonts w:hint="eastAsia" w:ascii="宋体" w:hAnsi="宋体" w:eastAsia="宋体"/>
          <w:b/>
          <w:bCs/>
          <w:spacing w:val="-6"/>
          <w:sz w:val="24"/>
          <w:szCs w:val="24"/>
          <w:highlight w:val="none"/>
          <w:lang w:val="en-US" w:eastAsia="zh-CN"/>
        </w:rPr>
        <w:t>4</w:t>
      </w:r>
      <w:r>
        <w:rPr>
          <w:rFonts w:hint="eastAsia" w:ascii="宋体" w:hAnsi="宋体" w:eastAsia="宋体"/>
          <w:b/>
          <w:bCs/>
          <w:spacing w:val="-6"/>
          <w:sz w:val="24"/>
          <w:szCs w:val="24"/>
          <w:highlight w:val="none"/>
          <w:lang w:val="en-US"/>
        </w:rPr>
        <w:t>年</w:t>
      </w:r>
      <w:r>
        <w:rPr>
          <w:rFonts w:hint="eastAsia" w:ascii="宋体" w:hAnsi="宋体" w:eastAsia="宋体"/>
          <w:b/>
          <w:bCs/>
          <w:spacing w:val="-6"/>
          <w:sz w:val="24"/>
          <w:szCs w:val="24"/>
          <w:highlight w:val="none"/>
          <w:lang w:val="en-US" w:eastAsia="zh-CN"/>
        </w:rPr>
        <w:t>3</w:t>
      </w:r>
      <w:r>
        <w:rPr>
          <w:rFonts w:hint="eastAsia" w:ascii="宋体" w:hAnsi="宋体" w:eastAsia="宋体"/>
          <w:b/>
          <w:bCs/>
          <w:spacing w:val="-6"/>
          <w:sz w:val="24"/>
          <w:szCs w:val="24"/>
          <w:highlight w:val="none"/>
          <w:lang w:val="en-US"/>
        </w:rPr>
        <w:t>月</w:t>
      </w:r>
      <w:r>
        <w:rPr>
          <w:rFonts w:hint="eastAsia" w:ascii="宋体" w:hAnsi="宋体" w:eastAsia="宋体"/>
          <w:b/>
          <w:bCs/>
          <w:spacing w:val="-6"/>
          <w:sz w:val="24"/>
          <w:szCs w:val="24"/>
          <w:highlight w:val="none"/>
          <w:lang w:val="en-US" w:eastAsia="zh-CN"/>
        </w:rPr>
        <w:t>15</w:t>
      </w:r>
      <w:r>
        <w:rPr>
          <w:rFonts w:hint="eastAsia" w:ascii="宋体" w:hAnsi="宋体" w:eastAsia="宋体"/>
          <w:b/>
          <w:bCs/>
          <w:spacing w:val="-6"/>
          <w:sz w:val="24"/>
          <w:szCs w:val="24"/>
          <w:highlight w:val="none"/>
          <w:lang w:val="en-US"/>
        </w:rPr>
        <w:t>日</w:t>
      </w:r>
      <w:r>
        <w:rPr>
          <w:rFonts w:hint="eastAsia" w:ascii="宋体" w:hAnsi="宋体" w:eastAsia="宋体"/>
          <w:b/>
          <w:bCs/>
          <w:spacing w:val="-6"/>
          <w:sz w:val="24"/>
          <w:szCs w:val="24"/>
          <w:highlight w:val="none"/>
          <w:lang w:val="en-US" w:eastAsia="zh-CN"/>
        </w:rPr>
        <w:t>10</w:t>
      </w:r>
      <w:r>
        <w:rPr>
          <w:rFonts w:hint="eastAsia" w:ascii="宋体" w:hAnsi="宋体" w:eastAsia="宋体"/>
          <w:b/>
          <w:bCs/>
          <w:spacing w:val="-6"/>
          <w:sz w:val="24"/>
          <w:szCs w:val="24"/>
          <w:highlight w:val="none"/>
          <w:lang w:val="en-US"/>
        </w:rPr>
        <w:t>时</w:t>
      </w:r>
      <w:r>
        <w:rPr>
          <w:rFonts w:hint="eastAsia" w:ascii="宋体" w:hAnsi="宋体" w:eastAsia="宋体"/>
          <w:b/>
          <w:bCs/>
          <w:spacing w:val="-6"/>
          <w:sz w:val="24"/>
          <w:szCs w:val="24"/>
          <w:highlight w:val="none"/>
          <w:lang w:val="en-US" w:eastAsia="zh-CN"/>
        </w:rPr>
        <w:t>0</w:t>
      </w:r>
      <w:r>
        <w:rPr>
          <w:rFonts w:hint="eastAsia" w:ascii="宋体" w:hAnsi="宋体" w:eastAsia="宋体"/>
          <w:b/>
          <w:bCs/>
          <w:spacing w:val="-6"/>
          <w:sz w:val="24"/>
          <w:szCs w:val="24"/>
          <w:highlight w:val="none"/>
          <w:lang w:val="en-US"/>
        </w:rPr>
        <w:t>分。</w:t>
      </w:r>
    </w:p>
    <w:p>
      <w:pPr>
        <w:autoSpaceDE w:val="0"/>
        <w:autoSpaceDN w:val="0"/>
        <w:spacing w:line="360" w:lineRule="auto"/>
        <w:rPr>
          <w:rFonts w:hint="default"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10.2投标地址：</w:t>
      </w:r>
      <w:r>
        <w:rPr>
          <w:rFonts w:hint="eastAsia" w:ascii="宋体" w:hAnsi="宋体" w:eastAsia="宋体"/>
          <w:b/>
          <w:bCs/>
          <w:sz w:val="24"/>
          <w:szCs w:val="24"/>
          <w:highlight w:val="none"/>
          <w:lang w:val="en-US" w:eastAsia="zh-CN"/>
        </w:rPr>
        <w:t>南京市鼓楼区紫竹林3号</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18061768693</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 xml:space="preserve"> </w:t>
      </w:r>
      <w:r>
        <w:rPr>
          <w:rFonts w:hint="eastAsia" w:ascii="宋体" w:hAnsi="宋体" w:eastAsia="宋体"/>
          <w:sz w:val="24"/>
          <w:szCs w:val="24"/>
          <w:highlight w:val="none"/>
          <w:lang w:val="en-US" w:eastAsia="zh-CN"/>
        </w:rPr>
        <w:t>南京市鼓楼区紫竹林3号</w:t>
      </w:r>
    </w:p>
    <w:p>
      <w:pPr>
        <w:spacing w:line="360" w:lineRule="auto"/>
        <w:jc w:val="left"/>
        <w:rPr>
          <w:rFonts w:ascii="宋体" w:hAnsi="宋体" w:eastAsia="宋体"/>
          <w:b/>
          <w:bCs/>
          <w:sz w:val="24"/>
          <w:szCs w:val="24"/>
          <w:highlight w:val="none"/>
          <w:shd w:val="clear" w:color="auto" w:fill="FFFFFF"/>
          <w:lang w:val="en-US"/>
        </w:rPr>
      </w:pP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rPr>
        <w:t>、</w:t>
      </w:r>
      <w:r>
        <w:rPr>
          <w:rFonts w:hint="eastAsia" w:ascii="宋体" w:hAnsi="宋体" w:eastAsia="宋体"/>
          <w:b/>
          <w:bCs/>
          <w:sz w:val="24"/>
          <w:szCs w:val="24"/>
          <w:highlight w:val="none"/>
          <w:shd w:val="clear" w:color="auto" w:fill="FFFFFF"/>
          <w:lang w:val="en-US"/>
        </w:rPr>
        <w:t>公告媒体</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rPr>
        <w:t>本采购公告在</w:t>
      </w:r>
      <w:r>
        <w:rPr>
          <w:rFonts w:hint="eastAsia" w:ascii="宋体" w:hAnsi="宋体" w:eastAsia="宋体"/>
          <w:sz w:val="24"/>
          <w:szCs w:val="24"/>
          <w:highlight w:val="none"/>
          <w:shd w:val="clear" w:color="auto" w:fill="FFFFFF"/>
          <w:lang w:val="en-US" w:eastAsia="zh-CN"/>
        </w:rPr>
        <w:t>南京卫生12320网</w:t>
      </w:r>
      <w:r>
        <w:rPr>
          <w:rFonts w:hint="eastAsia" w:ascii="宋体" w:hAnsi="宋体" w:eastAsia="宋体"/>
          <w:sz w:val="24"/>
          <w:szCs w:val="24"/>
          <w:highlight w:val="none"/>
          <w:shd w:val="clear" w:color="auto" w:fill="FFFFFF"/>
          <w:lang w:val="en-US"/>
        </w:rPr>
        <w:t>（</w:t>
      </w:r>
      <w:r>
        <w:rPr>
          <w:rFonts w:hint="eastAsia" w:ascii="宋体" w:hAnsi="宋体" w:eastAsia="宋体"/>
          <w:highlight w:val="none"/>
          <w:shd w:val="clear" w:color="auto" w:fill="FFFFFF"/>
          <w:lang w:val="en-US"/>
        </w:rPr>
        <w:t>https://www.</w:t>
      </w:r>
      <w:r>
        <w:rPr>
          <w:rFonts w:hint="eastAsia" w:ascii="宋体" w:hAnsi="宋体" w:eastAsia="宋体"/>
          <w:highlight w:val="none"/>
          <w:shd w:val="clear" w:color="auto" w:fill="FFFFFF"/>
          <w:lang w:val="en-US" w:eastAsia="zh-CN"/>
        </w:rPr>
        <w:t>nj12320.org</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公示发布</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敬请各供应商关注</w:t>
      </w:r>
      <w:r>
        <w:rPr>
          <w:rFonts w:hint="eastAsia" w:ascii="宋体" w:hAnsi="宋体" w:eastAsia="宋体"/>
          <w:sz w:val="24"/>
          <w:szCs w:val="24"/>
          <w:highlight w:val="none"/>
          <w:shd w:val="clear" w:color="auto" w:fill="FFFFFF"/>
          <w:lang w:val="en-US"/>
        </w:rPr>
        <w:t>；</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若有关本次采购存在变动或修改</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敬请各供应商及时关注发布的关于本项目的信息更正公告。</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.3对采购项目的技术及需求问题，请向采购人联系人咨询；</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.4本采购文件公告期限届满之日为：采购公告发布之日起第</w:t>
      </w:r>
      <w:r>
        <w:rPr>
          <w:rFonts w:hint="eastAsia" w:ascii="宋体" w:hAnsi="宋体" w:eastAsia="宋体"/>
          <w:sz w:val="24"/>
          <w:szCs w:val="24"/>
          <w:highlight w:val="none"/>
          <w:u w:val="single"/>
          <w:shd w:val="clear" w:color="auto" w:fill="FFFFFF"/>
          <w:lang w:val="en-US"/>
        </w:rPr>
        <w:t>3</w:t>
      </w:r>
      <w:r>
        <w:rPr>
          <w:rFonts w:hint="eastAsia" w:ascii="宋体" w:hAnsi="宋体" w:eastAsia="宋体"/>
          <w:sz w:val="24"/>
          <w:szCs w:val="24"/>
          <w:highlight w:val="none"/>
          <w:shd w:val="clear" w:color="auto" w:fill="FFFFFF"/>
          <w:lang w:val="en-US"/>
        </w:rPr>
        <w:t>个工作日。</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eastAsia="zh-CN"/>
        </w:rPr>
        <w:t>3</w:t>
      </w:r>
      <w:r>
        <w:rPr>
          <w:rFonts w:hint="eastAsia" w:ascii="宋体" w:hAnsi="宋体" w:eastAsia="宋体"/>
          <w:b/>
          <w:sz w:val="24"/>
          <w:szCs w:val="24"/>
          <w:highlight w:val="none"/>
          <w:shd w:val="clear" w:color="auto" w:fill="FFFFFF"/>
          <w:lang w:val="en-US"/>
        </w:rPr>
        <w:t>、</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jc w:val="left"/>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eastAsia="zh-CN"/>
        </w:rPr>
        <w:t>3</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highlight w:val="none"/>
        </w:rPr>
      </w:pPr>
      <w:r>
        <w:rPr>
          <w:sz w:val="24"/>
          <w:highlight w:val="none"/>
        </w:rPr>
        <w:t>1</w:t>
      </w:r>
      <w:r>
        <w:rPr>
          <w:rFonts w:hint="eastAsia" w:eastAsia="宋体"/>
          <w:sz w:val="24"/>
          <w:highlight w:val="none"/>
          <w:lang w:val="en-US" w:eastAsia="zh-CN"/>
        </w:rPr>
        <w:t>3</w:t>
      </w:r>
      <w:r>
        <w:rPr>
          <w:sz w:val="24"/>
          <w:highlight w:val="none"/>
        </w:rPr>
        <w:t>.2</w:t>
      </w:r>
      <w:r>
        <w:rPr>
          <w:rFonts w:hint="eastAsia" w:ascii="宋体" w:hAnsi="宋体" w:eastAsia="宋体"/>
          <w:sz w:val="24"/>
          <w:highlight w:val="none"/>
        </w:rPr>
        <w:t>凡在南京地区参加政府采购活动的供应商，应当事先登录“信用南京”（www.njcredit.gov.cn）或</w:t>
      </w:r>
      <w:r>
        <w:rPr>
          <w:rFonts w:ascii="宋体" w:hAnsi="宋体" w:eastAsia="宋体"/>
          <w:sz w:val="24"/>
          <w:highlight w:val="none"/>
        </w:rPr>
        <w:t>“南京公共采购信息网”（https://njgc.jfh.com/）主页“南京市政府采购供应商诚信档案”</w:t>
      </w:r>
      <w:r>
        <w:rPr>
          <w:rFonts w:hint="eastAsia" w:ascii="宋体" w:hAnsi="宋体" w:eastAsia="宋体"/>
          <w:sz w:val="24"/>
          <w:highlight w:val="none"/>
        </w:rPr>
        <w:t>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3"/>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宋体"/>
          <w:b/>
          <w:bCs/>
          <w:sz w:val="24"/>
          <w:highlight w:val="none"/>
          <w:lang w:val="en-US" w:eastAsia="zh-CN"/>
        </w:rPr>
        <w:t>3</w:t>
      </w:r>
      <w:r>
        <w:rPr>
          <w:rFonts w:hint="eastAsia"/>
          <w:b/>
          <w:bCs/>
          <w:sz w:val="24"/>
          <w:highlight w:val="none"/>
          <w:lang w:val="en-US"/>
        </w:rPr>
        <w:t>.3</w:t>
      </w:r>
      <w:r>
        <w:rPr>
          <w:b/>
          <w:bCs/>
          <w:sz w:val="24"/>
          <w:highlight w:val="none"/>
        </w:rPr>
        <w:t>供应商拟申请注册的，应当按以下程序进行：</w:t>
      </w:r>
    </w:p>
    <w:p>
      <w:pPr>
        <w:pStyle w:val="273"/>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）或“</w:t>
      </w:r>
      <w:r>
        <w:rPr>
          <w:rFonts w:hint="eastAsia" w:ascii="宋体" w:hAnsi="宋体" w:eastAsia="宋体"/>
          <w:sz w:val="24"/>
          <w:highlight w:val="none"/>
        </w:rPr>
        <w:t>南京公共采购信息网</w:t>
      </w:r>
      <w:r>
        <w:rPr>
          <w:sz w:val="24"/>
          <w:highlight w:val="none"/>
        </w:rPr>
        <w:t>”</w:t>
      </w:r>
      <w:r>
        <w:rPr>
          <w:rFonts w:hint="eastAsia" w:ascii="宋体" w:hAnsi="宋体" w:eastAsia="宋体"/>
          <w:sz w:val="24"/>
          <w:highlight w:val="none"/>
        </w:rPr>
        <w:t>（</w:t>
      </w:r>
      <w:r>
        <w:rPr>
          <w:sz w:val="24"/>
          <w:highlight w:val="none"/>
        </w:rPr>
        <w:t>https://njgc.jfh.com/</w:t>
      </w:r>
      <w:r>
        <w:rPr>
          <w:rFonts w:hint="eastAsia" w:ascii="宋体" w:hAnsi="宋体" w:eastAsia="宋体"/>
          <w:sz w:val="24"/>
          <w:highlight w:val="none"/>
        </w:rPr>
        <w:t>）</w:t>
      </w:r>
      <w:r>
        <w:rPr>
          <w:sz w:val="24"/>
          <w:highlight w:val="none"/>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《南京市政府采购供应商信用记录表暨信用承诺书》打印</w:t>
      </w:r>
      <w:r>
        <w:rPr>
          <w:sz w:val="24"/>
          <w:highlight w:val="none"/>
        </w:rPr>
        <w:t>；</w:t>
      </w:r>
    </w:p>
    <w:p>
      <w:pPr>
        <w:pStyle w:val="273"/>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025-52718366；供应商可就用户注册与打印“南京市政府采购供应商信用记录表暨信用承诺书”等事宜进行咨询</w:t>
      </w:r>
      <w:r>
        <w:rPr>
          <w:rFonts w:hint="eastAsia" w:ascii="宋体" w:hAnsi="宋体"/>
          <w:sz w:val="24"/>
          <w:highlight w:val="none"/>
        </w:rPr>
        <w:t>。</w:t>
      </w:r>
    </w:p>
    <w:p>
      <w:pPr>
        <w:pStyle w:val="273"/>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eastAsia="zh-CN"/>
        </w:rPr>
        <w:t>3</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“南京市政府采购供应商信用记录表暨信用承诺书”</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“南京市政府采购供应商信用记录表暨信用承诺书”是其参加政府采购活动的必备材料</w:t>
      </w:r>
      <w:r>
        <w:rPr>
          <w:rFonts w:hint="eastAsia" w:ascii="宋体" w:hAnsi="宋体"/>
          <w:b/>
          <w:sz w:val="24"/>
          <w:highlight w:val="none"/>
        </w:rPr>
        <w:t>。</w:t>
      </w:r>
    </w:p>
    <w:p>
      <w:pPr>
        <w:spacing w:line="360" w:lineRule="auto"/>
        <w:ind w:firstLine="480" w:firstLineChars="200"/>
        <w:jc w:val="left"/>
        <w:rPr>
          <w:rFonts w:ascii="微软雅黑" w:hAnsi="微软雅黑" w:eastAsia="微软雅黑" w:cs="微软雅黑"/>
          <w:bCs/>
          <w:color w:val="000000"/>
          <w:sz w:val="32"/>
          <w:szCs w:val="36"/>
          <w:highlight w:val="none"/>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准备，按采购文件的要求详细填写和编制响应文件，并按以上确定的时间、地点准时提交响应文件。</w:t>
      </w:r>
    </w:p>
    <w:p>
      <w:pPr>
        <w:spacing w:line="360" w:lineRule="auto"/>
        <w:jc w:val="right"/>
        <w:rPr>
          <w:rFonts w:hint="eastAsia" w:ascii="宋体" w:hAnsi="宋体" w:eastAsia="宋体"/>
          <w:sz w:val="24"/>
          <w:szCs w:val="28"/>
          <w:highlight w:val="none"/>
          <w:lang w:eastAsia="zh-CN"/>
        </w:rPr>
      </w:pPr>
    </w:p>
    <w:p>
      <w:pPr>
        <w:pStyle w:val="2"/>
        <w:rPr>
          <w:rFonts w:hint="eastAsia"/>
          <w:highlight w:val="none"/>
          <w:lang w:eastAsia="zh-CN"/>
        </w:rPr>
      </w:pPr>
    </w:p>
    <w:p>
      <w:pPr>
        <w:pStyle w:val="2"/>
        <w:rPr>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 xml:space="preserve"> 供应商须知</w:t>
      </w:r>
    </w:p>
    <w:p>
      <w:pPr>
        <w:pStyle w:val="2"/>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highlight w:val="none"/>
              </w:rPr>
            </w:pPr>
            <w:r>
              <w:rPr>
                <w:rFonts w:hint="eastAsia" w:ascii="宋体" w:hAnsi="宋体"/>
                <w:sz w:val="22"/>
                <w:szCs w:val="22"/>
                <w:highlight w:val="none"/>
                <w:lang w:val="en-US"/>
              </w:rPr>
              <w:t>文件</w:t>
            </w:r>
            <w:r>
              <w:rPr>
                <w:rFonts w:hint="eastAsia" w:ascii="宋体" w:hAnsi="宋体"/>
                <w:b/>
                <w:bCs/>
                <w:sz w:val="22"/>
                <w:szCs w:val="22"/>
                <w:highlight w:val="none"/>
                <w:u w:val="single"/>
                <w:lang w:val="en-US"/>
              </w:rPr>
              <w:t>壹</w:t>
            </w:r>
            <w:r>
              <w:rPr>
                <w:rFonts w:hint="eastAsia" w:ascii="宋体" w:hAnsi="宋体"/>
                <w:sz w:val="22"/>
                <w:szCs w:val="22"/>
                <w:highlight w:val="none"/>
                <w:lang w:val="en-US"/>
              </w:rPr>
              <w:t>份</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供应商应由其法定代表人或法定代表人授权委托人在规定的时间内，</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响应</w:t>
            </w:r>
            <w:r>
              <w:rPr>
                <w:rFonts w:hint="eastAsia" w:ascii="宋体" w:hAnsi="宋体"/>
                <w:sz w:val="22"/>
                <w:szCs w:val="22"/>
                <w:highlight w:val="none"/>
              </w:rPr>
              <w:t>文件</w:t>
            </w:r>
            <w:r>
              <w:rPr>
                <w:rFonts w:hint="eastAsia" w:ascii="宋体" w:hAnsi="宋体"/>
                <w:sz w:val="22"/>
                <w:szCs w:val="22"/>
                <w:highlight w:val="none"/>
                <w:lang w:val="en-US"/>
              </w:rPr>
              <w:t>并加盖签章</w:t>
            </w:r>
            <w:r>
              <w:rPr>
                <w:rFonts w:hint="eastAsia" w:ascii="宋体" w:hAnsi="宋体"/>
                <w:sz w:val="22"/>
                <w:szCs w:val="22"/>
                <w:highlight w:val="none"/>
              </w:rPr>
              <w:t>（</w:t>
            </w:r>
            <w:r>
              <w:rPr>
                <w:rFonts w:hint="eastAsia" w:ascii="宋体" w:hAnsi="宋体"/>
                <w:sz w:val="22"/>
                <w:szCs w:val="22"/>
                <w:highlight w:val="none"/>
                <w:lang w:val="en-US"/>
              </w:rPr>
              <w:t>企业公章和法人签章</w:t>
            </w:r>
            <w:r>
              <w:rPr>
                <w:rFonts w:hint="eastAsia" w:ascii="宋体" w:hAnsi="宋体"/>
                <w:sz w:val="22"/>
                <w:szCs w:val="22"/>
                <w:highlight w:val="none"/>
              </w:rPr>
              <w:t>）。</w:t>
            </w:r>
          </w:p>
          <w:p>
            <w:pPr>
              <w:numPr>
                <w:ilvl w:val="0"/>
                <w:numId w:val="9"/>
              </w:numPr>
              <w:spacing w:line="360" w:lineRule="auto"/>
              <w:ind w:left="0" w:firstLine="0"/>
              <w:rPr>
                <w:rFonts w:ascii="宋体" w:hAnsi="宋体"/>
                <w:b/>
                <w:bCs/>
                <w:sz w:val="22"/>
                <w:szCs w:val="22"/>
                <w:highlight w:val="none"/>
              </w:rPr>
            </w:pPr>
            <w:r>
              <w:rPr>
                <w:rFonts w:hint="eastAsia" w:ascii="宋体" w:hAnsi="宋体"/>
                <w:b/>
                <w:bCs/>
                <w:sz w:val="22"/>
                <w:szCs w:val="22"/>
                <w:highlight w:val="none"/>
              </w:rPr>
              <w:t>供应商应当对</w:t>
            </w:r>
            <w:r>
              <w:rPr>
                <w:rFonts w:hint="eastAsia" w:ascii="宋体" w:hAnsi="宋体"/>
                <w:b/>
                <w:bCs/>
                <w:sz w:val="22"/>
                <w:szCs w:val="22"/>
                <w:highlight w:val="none"/>
                <w:lang w:val="en-US"/>
              </w:rPr>
              <w:t>采购</w:t>
            </w:r>
            <w:r>
              <w:rPr>
                <w:rFonts w:hint="eastAsia" w:ascii="宋体" w:hAnsi="宋体"/>
                <w:b/>
                <w:bCs/>
                <w:sz w:val="22"/>
                <w:szCs w:val="22"/>
                <w:highlight w:val="none"/>
              </w:rPr>
              <w:t>文件提出的要求和条件作出实质性响应。</w:t>
            </w:r>
          </w:p>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投标产品属于小微企业生产的产品、</w:t>
            </w:r>
            <w:r>
              <w:rPr>
                <w:rFonts w:hint="eastAsia" w:ascii="宋体" w:hAnsi="宋体"/>
                <w:sz w:val="22"/>
                <w:szCs w:val="22"/>
                <w:highlight w:val="none"/>
                <w:lang w:val="en-US"/>
              </w:rPr>
              <w:t>节能产品、环境标志产品</w:t>
            </w:r>
            <w:r>
              <w:rPr>
                <w:rFonts w:hint="eastAsia" w:ascii="宋体" w:hAnsi="宋体"/>
                <w:sz w:val="22"/>
                <w:szCs w:val="22"/>
                <w:highlight w:val="none"/>
              </w:rPr>
              <w:t>，应在投标</w:t>
            </w:r>
            <w:r>
              <w:rPr>
                <w:rFonts w:hint="eastAsia" w:ascii="宋体" w:hAnsi="宋体" w:eastAsia="宋体"/>
                <w:sz w:val="22"/>
                <w:szCs w:val="22"/>
                <w:highlight w:val="none"/>
                <w:lang w:val="en-US" w:eastAsia="zh-CN"/>
              </w:rPr>
              <w:t>时</w:t>
            </w:r>
            <w:r>
              <w:rPr>
                <w:rFonts w:hint="eastAsia" w:ascii="宋体" w:hAnsi="宋体"/>
                <w:sz w:val="22"/>
                <w:szCs w:val="22"/>
                <w:highlight w:val="none"/>
              </w:rPr>
              <w:t>说明</w:t>
            </w:r>
            <w:r>
              <w:rPr>
                <w:rFonts w:hint="eastAsia" w:ascii="宋体" w:hAnsi="宋体"/>
                <w:sz w:val="22"/>
                <w:szCs w:val="22"/>
                <w:highlight w:val="none"/>
                <w:lang w:val="en-US"/>
              </w:rPr>
              <w:t>并</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证明材料，</w:t>
            </w:r>
            <w:r>
              <w:rPr>
                <w:rFonts w:hint="eastAsia" w:ascii="宋体" w:hAnsi="宋体"/>
                <w:b/>
                <w:bCs/>
                <w:sz w:val="22"/>
                <w:szCs w:val="22"/>
                <w:highlight w:val="none"/>
                <w:lang w:val="en-US"/>
              </w:rPr>
              <w:t>未</w:t>
            </w:r>
            <w:r>
              <w:rPr>
                <w:rFonts w:hint="eastAsia" w:ascii="宋体" w:hAnsi="宋体" w:eastAsia="宋体"/>
                <w:b/>
                <w:bCs/>
                <w:sz w:val="22"/>
                <w:szCs w:val="22"/>
                <w:highlight w:val="none"/>
                <w:lang w:val="en-US" w:eastAsia="zh-CN"/>
              </w:rPr>
              <w:t>递交</w:t>
            </w:r>
            <w:r>
              <w:rPr>
                <w:rFonts w:hint="eastAsia" w:ascii="宋体" w:hAnsi="宋体"/>
                <w:b/>
                <w:bCs/>
                <w:sz w:val="22"/>
                <w:szCs w:val="22"/>
                <w:highlight w:val="none"/>
                <w:lang w:val="en-US"/>
              </w:rPr>
              <w:t>证明材料的将不予认可</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highlight w:val="none"/>
                <w:lang w:val="en-US"/>
              </w:rPr>
            </w:pPr>
            <w:r>
              <w:rPr>
                <w:rFonts w:hint="eastAsia"/>
                <w:b/>
                <w:bCs/>
                <w:sz w:val="22"/>
                <w:szCs w:val="22"/>
                <w:highlight w:val="none"/>
                <w:lang w:val="en-US"/>
              </w:rPr>
              <w:t>逾期投标或者未按照询比文件编制要求递交的响应文件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rPr>
            </w:pPr>
            <w:r>
              <w:rPr>
                <w:rFonts w:hint="eastAsia" w:ascii="宋体" w:hAnsi="宋体" w:eastAsia="宋体"/>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pPr>
        <w:pStyle w:val="427"/>
        <w:tabs>
          <w:tab w:val="clear" w:pos="1760"/>
        </w:tabs>
        <w:spacing w:before="0"/>
        <w:ind w:left="0" w:leftChars="0" w:right="0" w:rightChars="0"/>
        <w:rPr>
          <w:highlight w:val="none"/>
        </w:rPr>
      </w:pPr>
      <w:r>
        <w:rPr>
          <w:rFonts w:hint="eastAsia"/>
          <w:highlight w:val="none"/>
        </w:rPr>
        <w:t>一、总    则</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pPr>
        <w:autoSpaceDE w:val="0"/>
        <w:autoSpaceDN w:val="0"/>
        <w:adjustRightInd w:val="0"/>
        <w:snapToGrid w:val="0"/>
        <w:spacing w:line="360" w:lineRule="auto"/>
        <w:jc w:val="left"/>
        <w:rPr>
          <w:sz w:val="24"/>
          <w:highlight w:val="none"/>
        </w:rPr>
      </w:pPr>
      <w:bookmarkStart w:id="0" w:name="_Hlk66864185"/>
      <w:r>
        <w:rPr>
          <w:rFonts w:hint="eastAsia" w:ascii="宋体" w:hAnsi="宋体" w:eastAsia="宋体"/>
          <w:sz w:val="24"/>
          <w:highlight w:val="none"/>
        </w:rPr>
        <w:t>（1）中小企业（含中型、小型、微型企业）应当符合《政府采购促进中小企业发展管理办法》（财库〔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号）第二条、《关于政府采购支持监狱企业发展有关问题的通知》（财库〔</w:t>
      </w:r>
      <w:r>
        <w:rPr>
          <w:rFonts w:hint="eastAsia"/>
          <w:sz w:val="24"/>
          <w:highlight w:val="none"/>
        </w:rPr>
        <w:t>2014</w:t>
      </w:r>
      <w:r>
        <w:rPr>
          <w:rFonts w:hint="eastAsia" w:ascii="宋体" w:hAnsi="宋体" w:eastAsia="宋体"/>
          <w:sz w:val="24"/>
          <w:highlight w:val="none"/>
        </w:rPr>
        <w:t>〕</w:t>
      </w:r>
      <w:r>
        <w:rPr>
          <w:rFonts w:hint="eastAsia"/>
          <w:sz w:val="24"/>
          <w:highlight w:val="none"/>
        </w:rPr>
        <w:t xml:space="preserve">68 </w:t>
      </w:r>
      <w:r>
        <w:rPr>
          <w:rFonts w:hint="eastAsia" w:ascii="宋体" w:hAnsi="宋体" w:eastAsia="宋体"/>
          <w:sz w:val="24"/>
          <w:highlight w:val="none"/>
        </w:rPr>
        <w:t>号）第一条或《关于促进残疾人就业政府采购政策的通知》（财库〔</w:t>
      </w:r>
      <w:r>
        <w:rPr>
          <w:rFonts w:hint="eastAsia"/>
          <w:sz w:val="24"/>
          <w:highlight w:val="none"/>
        </w:rPr>
        <w:t>2017</w:t>
      </w:r>
      <w:r>
        <w:rPr>
          <w:rFonts w:hint="eastAsia" w:ascii="宋体" w:hAnsi="宋体" w:eastAsia="宋体"/>
          <w:sz w:val="24"/>
          <w:highlight w:val="none"/>
        </w:rPr>
        <w:t>〕</w:t>
      </w:r>
      <w:r>
        <w:rPr>
          <w:rFonts w:hint="eastAsia"/>
          <w:sz w:val="24"/>
          <w:highlight w:val="none"/>
        </w:rPr>
        <w:t xml:space="preserve">141 </w:t>
      </w:r>
      <w:r>
        <w:rPr>
          <w:rFonts w:hint="eastAsia" w:ascii="宋体" w:hAnsi="宋体" w:eastAsia="宋体"/>
          <w:sz w:val="24"/>
          <w:highlight w:val="none"/>
        </w:rPr>
        <w:t>号）第一条的规定。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（2）参加政府采购活动的中小企业应当提供《中小企业声明函》、由省级以上监狱管理局戒毒管理局</w:t>
      </w:r>
      <w:r>
        <w:rPr>
          <w:rFonts w:hint="eastAsia"/>
          <w:sz w:val="24"/>
          <w:highlight w:val="none"/>
        </w:rPr>
        <w:t>(</w:t>
      </w:r>
      <w:r>
        <w:rPr>
          <w:rFonts w:hint="eastAsia" w:ascii="宋体" w:hAnsi="宋体" w:eastAsia="宋体"/>
          <w:sz w:val="24"/>
          <w:highlight w:val="none"/>
        </w:rPr>
        <w:t>含新疆生产建设兵团</w:t>
      </w:r>
      <w:r>
        <w:rPr>
          <w:rFonts w:hint="eastAsia"/>
          <w:sz w:val="24"/>
          <w:highlight w:val="none"/>
        </w:rPr>
        <w:t>)</w:t>
      </w:r>
      <w:r>
        <w:rPr>
          <w:rFonts w:hint="eastAsia" w:ascii="宋体" w:hAnsi="宋体" w:eastAsia="宋体"/>
          <w:sz w:val="24"/>
          <w:highlight w:val="none"/>
        </w:rPr>
        <w:t>出具的属于监狱企业的证明文件或《残疾人福利性单位声明函》。</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（3）对于接受投标人以联合体形式参加采购活动的项目，小微型企业联合体应当符合《政府采购促进中小企业发展管理办法》（财库〔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号）第九条的规定。对于联合协议或者分包意向协议约定小微企业的合同份额占到合同总金额</w:t>
      </w:r>
      <w:r>
        <w:rPr>
          <w:sz w:val="24"/>
          <w:highlight w:val="none"/>
        </w:rPr>
        <w:t>30%</w:t>
      </w:r>
      <w:r>
        <w:rPr>
          <w:rFonts w:hint="eastAsia" w:ascii="宋体" w:hAnsi="宋体" w:eastAsia="宋体"/>
          <w:sz w:val="24"/>
          <w:highlight w:val="none"/>
        </w:rPr>
        <w:t>以上的</w:t>
      </w:r>
      <w:r>
        <w:rPr>
          <w:rFonts w:hint="eastAsia" w:ascii="宋体" w:hAnsi="宋体" w:eastAsia="宋体"/>
          <w:sz w:val="24"/>
          <w:highlight w:val="none"/>
          <w:lang w:val="en-US"/>
        </w:rPr>
        <w:t>，</w:t>
      </w:r>
      <w:r>
        <w:rPr>
          <w:rFonts w:hint="eastAsia" w:ascii="宋体" w:hAnsi="宋体" w:eastAsia="宋体"/>
          <w:sz w:val="24"/>
          <w:highlight w:val="none"/>
        </w:rPr>
        <w:t>给予联合体</w:t>
      </w:r>
      <w:r>
        <w:rPr>
          <w:rFonts w:hint="eastAsia"/>
          <w:sz w:val="24"/>
          <w:highlight w:val="none"/>
        </w:rPr>
        <w:t>2%</w:t>
      </w:r>
      <w:r>
        <w:rPr>
          <w:rFonts w:hint="eastAsia" w:ascii="宋体" w:hAnsi="宋体" w:eastAsia="宋体"/>
          <w:sz w:val="24"/>
          <w:highlight w:val="none"/>
        </w:rPr>
        <w:t>的价格扣除。</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（4）中小企业依据《政府采购促进中小企业发展管理办法》（财库〔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（5）未按要求提供相关材料的，不享受相关政策。</w:t>
      </w:r>
    </w:p>
    <w:bookmarkEnd w:id="0"/>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查询截止时间：投标截止时间前</w:t>
      </w:r>
      <w:r>
        <w:rPr>
          <w:rFonts w:hint="eastAsia" w:ascii="宋体" w:hAnsi="宋体" w:eastAsia="宋体"/>
          <w:sz w:val="24"/>
          <w:highlight w:val="none"/>
          <w:lang w:eastAsia="zh-CN"/>
        </w:rPr>
        <w:t>。</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供应商在投标时，须在响应文件中提供《南京市政府采购供应商信用记录表暨信用承诺书》</w:t>
      </w:r>
      <w:r>
        <w:rPr>
          <w:rFonts w:hint="eastAsia" w:ascii="宋体" w:hAnsi="宋体" w:eastAsia="宋体"/>
          <w:b/>
          <w:sz w:val="24"/>
          <w:highlight w:val="none"/>
          <w:lang w:val="en-US"/>
        </w:rPr>
        <w:t>并加盖企业签章和法人签章</w:t>
      </w:r>
      <w:r>
        <w:rPr>
          <w:rFonts w:hint="eastAsia" w:ascii="宋体" w:hAnsi="宋体" w:eastAsia="宋体"/>
          <w:sz w:val="24"/>
          <w:highlight w:val="none"/>
        </w:rPr>
        <w:t>；</w:t>
      </w:r>
    </w:p>
    <w:p>
      <w:pPr>
        <w:pStyle w:val="273"/>
        <w:numPr>
          <w:ilvl w:val="0"/>
          <w:numId w:val="13"/>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pPr>
        <w:pStyle w:val="2"/>
        <w:ind w:left="0"/>
        <w:rPr>
          <w:rFonts w:eastAsiaTheme="minorEastAsia"/>
          <w:highlight w:val="none"/>
        </w:rPr>
      </w:pPr>
    </w:p>
    <w:p>
      <w:pPr>
        <w:pStyle w:val="427"/>
        <w:tabs>
          <w:tab w:val="clear" w:pos="1760"/>
        </w:tabs>
        <w:spacing w:before="0"/>
        <w:ind w:left="0" w:leftChars="0" w:right="0" w:rightChars="0"/>
        <w:rPr>
          <w:highlight w:val="none"/>
        </w:rPr>
      </w:pPr>
      <w:r>
        <w:rPr>
          <w:rFonts w:hint="eastAsia"/>
          <w:highlight w:val="none"/>
        </w:rPr>
        <w:t>二、响应文件编制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hint="eastAsia" w:ascii="宋体" w:hAnsi="宋体" w:eastAsia="宋体"/>
          <w:sz w:val="24"/>
          <w:szCs w:val="24"/>
          <w:highlight w:val="none"/>
        </w:rPr>
        <w:t>电子响应文件</w:t>
      </w:r>
      <w:r>
        <w:rPr>
          <w:rFonts w:hint="eastAsia" w:ascii="宋体" w:hAnsi="宋体" w:eastAsia="宋体"/>
          <w:sz w:val="24"/>
          <w:szCs w:val="24"/>
          <w:highlight w:val="none"/>
          <w:u w:val="single"/>
        </w:rPr>
        <w:t>壹</w:t>
      </w:r>
      <w:r>
        <w:rPr>
          <w:rFonts w:hint="eastAsia" w:ascii="宋体" w:hAnsi="宋体" w:eastAsia="宋体"/>
          <w:sz w:val="24"/>
          <w:szCs w:val="24"/>
          <w:highlight w:val="none"/>
        </w:rPr>
        <w:t>份。</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spacing w:line="360" w:lineRule="auto"/>
        <w:jc w:val="left"/>
        <w:outlineLvl w:val="3"/>
        <w:rPr>
          <w:rFonts w:hint="eastAsia" w:ascii="宋体" w:hAnsi="宋体" w:eastAsia="宋体"/>
          <w:b/>
          <w:sz w:val="24"/>
          <w:szCs w:val="24"/>
          <w:highlight w:val="none"/>
        </w:rPr>
      </w:pPr>
      <w:r>
        <w:rPr>
          <w:rFonts w:hint="eastAsia" w:ascii="宋体" w:hAnsi="宋体" w:eastAsia="宋体"/>
          <w:b/>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《南京市政府采购供应商信用记录表暨信用承诺书》；</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6）</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《商务条款偏离表》；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sz w:val="24"/>
          <w:szCs w:val="24"/>
          <w:highlight w:val="none"/>
        </w:rPr>
        <w:t>（如果本项目具有产品本项须加★）</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r>
        <w:rPr>
          <w:rFonts w:hint="eastAsia" w:ascii="宋体" w:hAnsi="宋体" w:eastAsia="宋体"/>
          <w:b/>
          <w:sz w:val="24"/>
          <w:szCs w:val="24"/>
          <w:highlight w:val="none"/>
        </w:rPr>
        <w:t>（如果本项目具有产品本项须加★）</w:t>
      </w:r>
      <w:r>
        <w:rPr>
          <w:rFonts w:hint="eastAsia" w:ascii="宋体" w:hAnsi="宋体" w:eastAsia="宋体"/>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427"/>
        <w:tabs>
          <w:tab w:val="clear" w:pos="1760"/>
        </w:tabs>
        <w:spacing w:before="0"/>
        <w:ind w:left="0" w:leftChars="0" w:right="0" w:rightChars="0"/>
        <w:rPr>
          <w:highlight w:val="none"/>
        </w:rPr>
      </w:pPr>
      <w:r>
        <w:rPr>
          <w:rFonts w:hint="eastAsia"/>
          <w:highlight w:val="none"/>
        </w:rPr>
        <w:t>三、响应文件签署与提交</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9、</w:t>
      </w:r>
      <w:r>
        <w:rPr>
          <w:rFonts w:hint="eastAsia" w:ascii="宋体" w:hAnsi="宋体" w:eastAsia="宋体"/>
          <w:b/>
          <w:sz w:val="24"/>
          <w:szCs w:val="24"/>
          <w:highlight w:val="none"/>
          <w:lang w:val="en-US"/>
        </w:rPr>
        <w:t>响应文件签署</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供应商应由其法定代表人或法定代表人授权委托人在规定的投标时间内，</w:t>
      </w:r>
      <w:r>
        <w:rPr>
          <w:rFonts w:hint="eastAsia" w:ascii="宋体" w:hAnsi="宋体" w:eastAsia="宋体" w:cs="宋体"/>
          <w:sz w:val="24"/>
          <w:szCs w:val="24"/>
          <w:highlight w:val="none"/>
          <w:lang w:val="en-US" w:eastAsia="zh-CN"/>
        </w:rPr>
        <w:t>递交并</w:t>
      </w:r>
      <w:r>
        <w:rPr>
          <w:rFonts w:hint="eastAsia" w:ascii="宋体" w:hAnsi="宋体" w:eastAsia="宋体" w:cs="宋体"/>
          <w:sz w:val="24"/>
          <w:szCs w:val="24"/>
          <w:highlight w:val="none"/>
          <w:lang w:val="en-US"/>
        </w:rPr>
        <w:t>加盖签章（企业公章和法人签章）；</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10、</w:t>
      </w:r>
      <w:r>
        <w:rPr>
          <w:rFonts w:hint="eastAsia" w:ascii="宋体" w:hAnsi="宋体" w:eastAsia="宋体"/>
          <w:b/>
          <w:sz w:val="24"/>
          <w:szCs w:val="24"/>
          <w:highlight w:val="none"/>
          <w:lang w:val="en-US"/>
        </w:rPr>
        <w:t>响应文件提交</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供应商应当在询比文件要求投标的截止时间前，</w:t>
      </w:r>
      <w:r>
        <w:rPr>
          <w:rFonts w:hint="eastAsia" w:ascii="宋体" w:hAnsi="宋体" w:eastAsia="宋体" w:cs="宋体"/>
          <w:sz w:val="24"/>
          <w:szCs w:val="24"/>
          <w:highlight w:val="none"/>
          <w:lang w:val="en-US" w:eastAsia="zh-CN"/>
        </w:rPr>
        <w:t>提交至投标地址</w:t>
      </w:r>
      <w:r>
        <w:rPr>
          <w:rFonts w:hint="eastAsia" w:ascii="宋体" w:hAnsi="宋体" w:eastAsia="宋体" w:cs="宋体"/>
          <w:sz w:val="24"/>
          <w:szCs w:val="24"/>
          <w:highlight w:val="none"/>
          <w:lang w:val="en-US"/>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逾期投标或者未按照询比文件编制要求提交的响</w:t>
      </w:r>
      <w:bookmarkStart w:id="7" w:name="_GoBack"/>
      <w:bookmarkEnd w:id="7"/>
      <w:r>
        <w:rPr>
          <w:rFonts w:hint="eastAsia" w:ascii="宋体" w:hAnsi="宋体" w:eastAsia="宋体" w:cs="宋体"/>
          <w:sz w:val="24"/>
          <w:szCs w:val="24"/>
          <w:highlight w:val="none"/>
          <w:lang w:val="en-US"/>
        </w:rPr>
        <w:t>应文件</w:t>
      </w:r>
      <w:r>
        <w:rPr>
          <w:rFonts w:hint="eastAsia" w:ascii="宋体" w:hAnsi="宋体" w:eastAsia="宋体" w:cs="宋体"/>
          <w:sz w:val="24"/>
          <w:szCs w:val="24"/>
          <w:highlight w:val="none"/>
          <w:lang w:val="en-US" w:eastAsia="zh-CN"/>
        </w:rPr>
        <w:t>。</w:t>
      </w:r>
    </w:p>
    <w:p>
      <w:pPr>
        <w:pStyle w:val="427"/>
        <w:tabs>
          <w:tab w:val="clear" w:pos="1760"/>
        </w:tabs>
        <w:spacing w:before="0"/>
        <w:ind w:left="0" w:leftChars="0" w:right="0" w:rightChars="0"/>
        <w:rPr>
          <w:highlight w:val="none"/>
        </w:rPr>
      </w:pPr>
      <w:r>
        <w:rPr>
          <w:rFonts w:hint="eastAsia"/>
          <w:highlight w:val="none"/>
        </w:rPr>
        <w:t>四、询比</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12、联合体（根据采购项目是否接受联合体而定）</w:t>
      </w:r>
    </w:p>
    <w:p>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hint="eastAsia" w:ascii="宋体" w:hAnsi="宋体" w:eastAsia="宋体"/>
          <w:bCs/>
          <w:color w:val="000000"/>
          <w:sz w:val="24"/>
          <w:szCs w:val="24"/>
          <w:highlight w:val="none"/>
          <w:lang w:val="en-US"/>
        </w:rPr>
        <w:t>2</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.1在投标时间截止后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组织评审小组进行询比评审活动。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责组织，具体询比事务由依法组建的评审小组负责。</w:t>
      </w:r>
    </w:p>
    <w:p>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13.3</w:t>
      </w:r>
      <w:r>
        <w:rPr>
          <w:rFonts w:hint="eastAsia" w:ascii="宋体" w:hAnsi="宋体" w:eastAsia="宋体"/>
          <w:b/>
          <w:bCs/>
          <w:sz w:val="24"/>
          <w:szCs w:val="24"/>
          <w:highlight w:val="none"/>
          <w:lang w:eastAsia="zh-CN"/>
        </w:rPr>
        <w:t>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出现下列情形之一的响应文件按照无效处理：</w:t>
      </w:r>
    </w:p>
    <w:p>
      <w:pPr>
        <w:numPr>
          <w:ilvl w:val="0"/>
          <w:numId w:val="14"/>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14.4出现下列情形之一的，询比终止：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(1)因情况变化，不再符合规定的</w:t>
      </w:r>
      <w:r>
        <w:rPr>
          <w:rFonts w:hint="eastAsia" w:ascii="宋体" w:hAnsi="宋体" w:eastAsia="宋体"/>
          <w:sz w:val="24"/>
          <w:szCs w:val="24"/>
          <w:highlight w:val="none"/>
          <w:lang w:val="en-US"/>
        </w:rPr>
        <w:t>询比</w:t>
      </w:r>
      <w:r>
        <w:rPr>
          <w:rFonts w:hint="eastAsia" w:ascii="宋体" w:hAnsi="宋体" w:eastAsia="宋体"/>
          <w:sz w:val="24"/>
          <w:szCs w:val="24"/>
          <w:highlight w:val="none"/>
        </w:rPr>
        <w:t>采购方式适用情形的；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(2)所有供应商的响应文件被</w:t>
      </w:r>
      <w:r>
        <w:rPr>
          <w:rFonts w:hint="eastAsia" w:ascii="宋体" w:hAnsi="宋体" w:eastAsia="宋体"/>
          <w:sz w:val="24"/>
          <w:szCs w:val="24"/>
          <w:highlight w:val="none"/>
          <w:lang w:val="en-US"/>
        </w:rPr>
        <w:t>评审</w:t>
      </w:r>
      <w:r>
        <w:rPr>
          <w:rFonts w:hint="eastAsia" w:ascii="宋体" w:hAnsi="宋体" w:eastAsia="宋体"/>
          <w:sz w:val="24"/>
          <w:szCs w:val="24"/>
          <w:highlight w:val="none"/>
        </w:rPr>
        <w:t>小组认定为无效的；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(3)出现影响采购公正的违法、违规行为的；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(4)因重大变故，采购任务取消的。</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5.1</w:t>
      </w:r>
      <w:r>
        <w:rPr>
          <w:rFonts w:hint="eastAsia" w:ascii="宋体" w:hAnsi="宋体" w:eastAsia="宋体"/>
          <w:sz w:val="24"/>
          <w:szCs w:val="24"/>
          <w:highlight w:val="none"/>
        </w:rPr>
        <w:t>成交标准：质量和服务均能满足采购文件实质性要求，且报价最低。</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15.2</w:t>
      </w:r>
      <w:r>
        <w:rPr>
          <w:rFonts w:hint="eastAsia" w:ascii="宋体" w:hAnsi="宋体" w:eastAsia="宋体"/>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17.2采购人如未授权委托直接确定成交供应商的，</w:t>
      </w:r>
      <w:r>
        <w:rPr>
          <w:rFonts w:hint="eastAsia"/>
          <w:spacing w:val="1"/>
          <w:sz w:val="24"/>
          <w:szCs w:val="24"/>
          <w:highlight w:val="none"/>
          <w:lang w:val="en-US"/>
        </w:rPr>
        <w:t>采购人</w:t>
      </w:r>
      <w:r>
        <w:rPr>
          <w:rFonts w:hint="eastAsia" w:ascii="宋体" w:hAnsi="宋体" w:eastAsia="宋体"/>
          <w:spacing w:val="1"/>
          <w:sz w:val="24"/>
          <w:szCs w:val="24"/>
          <w:highlight w:val="none"/>
        </w:rPr>
        <w:t xml:space="preserve">将在评审结束后 </w:t>
      </w:r>
      <w:r>
        <w:rPr>
          <w:rFonts w:hint="eastAsia" w:ascii="宋体" w:hAnsi="宋体" w:eastAsia="宋体"/>
          <w:sz w:val="24"/>
          <w:szCs w:val="24"/>
          <w:highlight w:val="none"/>
        </w:rPr>
        <w:t>2 个工作日内将评审报告送采购人确认，</w:t>
      </w:r>
      <w:r>
        <w:rPr>
          <w:rFonts w:hint="eastAsia" w:ascii="宋体" w:hAnsi="宋体" w:eastAsia="宋体"/>
          <w:color w:val="000000"/>
          <w:sz w:val="24"/>
          <w:szCs w:val="24"/>
          <w:highlight w:val="none"/>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spacing w:val="-10"/>
          <w:sz w:val="24"/>
          <w:szCs w:val="24"/>
          <w:highlight w:val="none"/>
        </w:rPr>
        <w:t>成交供应商确定后，将在原采购公告发布媒体上公告，成交供</w:t>
      </w:r>
      <w:r>
        <w:rPr>
          <w:rFonts w:hint="eastAsia" w:ascii="宋体" w:hAnsi="宋体" w:eastAsia="宋体"/>
          <w:sz w:val="24"/>
          <w:szCs w:val="24"/>
          <w:highlight w:val="none"/>
        </w:rPr>
        <w:t>应商应及时到</w:t>
      </w:r>
      <w:r>
        <w:rPr>
          <w:rFonts w:hint="eastAsia"/>
          <w:sz w:val="24"/>
          <w:szCs w:val="24"/>
          <w:highlight w:val="none"/>
          <w:lang w:val="en-US"/>
        </w:rPr>
        <w:t>服务平台下载</w:t>
      </w:r>
      <w:r>
        <w:rPr>
          <w:rFonts w:hint="eastAsia" w:ascii="宋体" w:hAnsi="宋体" w:eastAsia="宋体"/>
          <w:sz w:val="24"/>
          <w:szCs w:val="24"/>
          <w:highlight w:val="none"/>
        </w:rPr>
        <w:t>成交通知书</w:t>
      </w:r>
    </w:p>
    <w:p>
      <w:pPr>
        <w:spacing w:line="360" w:lineRule="auto"/>
        <w:jc w:val="left"/>
        <w:rPr>
          <w:rFonts w:ascii="宋体" w:hAnsi="宋体" w:eastAsia="宋体"/>
          <w:b/>
          <w:bCs/>
          <w:sz w:val="24"/>
          <w:szCs w:val="24"/>
          <w:highlight w:val="none"/>
        </w:rPr>
      </w:pPr>
      <w:r>
        <w:rPr>
          <w:rFonts w:hint="eastAsia" w:ascii="宋体" w:hAnsi="宋体" w:eastAsia="宋体"/>
          <w:b/>
          <w:bCs/>
          <w:color w:val="000000"/>
          <w:sz w:val="24"/>
          <w:szCs w:val="24"/>
          <w:highlight w:val="none"/>
          <w:lang w:val="en-US"/>
        </w:rPr>
        <w:t>17.4</w:t>
      </w:r>
      <w:r>
        <w:rPr>
          <w:rFonts w:hint="eastAsia" w:ascii="宋体" w:hAnsi="宋体" w:eastAsia="宋体"/>
          <w:b/>
          <w:bCs/>
          <w:sz w:val="24"/>
          <w:szCs w:val="24"/>
          <w:highlight w:val="none"/>
        </w:rPr>
        <w:t>成交通知书对采购人和成交供应商具有同等法律效力。</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5采购人和评审小组</w:t>
      </w:r>
      <w:r>
        <w:rPr>
          <w:rFonts w:hint="eastAsia" w:ascii="宋体" w:hAnsi="宋体" w:eastAsia="宋体"/>
          <w:sz w:val="24"/>
          <w:szCs w:val="24"/>
          <w:highlight w:val="none"/>
        </w:rPr>
        <w:t>对未成交的供应商不作未成交原因的解释。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组织的采购活动，并予以通报。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19、询问</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20、质疑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highlight w:val="none"/>
        </w:rPr>
      </w:pPr>
      <w:r>
        <w:rPr>
          <w:rFonts w:hint="eastAsia" w:ascii="宋体" w:hAnsi="宋体" w:eastAsia="宋体"/>
          <w:color w:val="000000"/>
          <w:sz w:val="24"/>
          <w:highlight w:val="none"/>
          <w:lang w:val="en-US"/>
        </w:rPr>
        <w:t>20</w:t>
      </w:r>
      <w:r>
        <w:rPr>
          <w:rFonts w:hint="eastAsia" w:ascii="宋体" w:hAnsi="宋体" w:eastAsia="宋体"/>
          <w:color w:val="000000"/>
          <w:sz w:val="24"/>
          <w:highlight w:val="none"/>
        </w:rPr>
        <w:t>.2</w:t>
      </w:r>
      <w:r>
        <w:rPr>
          <w:rFonts w:hint="eastAsia" w:ascii="宋体" w:hAnsi="宋体" w:eastAsia="宋体"/>
          <w:sz w:val="24"/>
          <w:highlight w:val="none"/>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接收单位：</w:t>
      </w:r>
      <w:r>
        <w:rPr>
          <w:rFonts w:hint="eastAsia" w:ascii="宋体" w:hAnsi="宋体" w:eastAsia="宋体"/>
          <w:sz w:val="24"/>
          <w:highlight w:val="none"/>
          <w:lang w:val="en-US" w:eastAsia="zh-CN"/>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highlight w:val="none"/>
        </w:rPr>
        <w:fldChar w:fldCharType="begin"/>
      </w:r>
      <w:r>
        <w:rPr>
          <w:highlight w:val="none"/>
        </w:rPr>
        <w:instrText xml:space="preserve"> HYPERLINK "mailto:949433687@qq.com" \h </w:instrText>
      </w:r>
      <w:r>
        <w:rPr>
          <w:highlight w:val="none"/>
        </w:rPr>
        <w:fldChar w:fldCharType="separate"/>
      </w:r>
      <w:r>
        <w:rPr>
          <w:rFonts w:hint="eastAsia" w:ascii="宋体" w:hAnsi="宋体" w:eastAsia="宋体"/>
          <w:sz w:val="24"/>
          <w:szCs w:val="24"/>
          <w:highlight w:val="none"/>
        </w:rPr>
        <w:t>联系邮箱：</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地址：南京市</w:t>
      </w:r>
      <w:r>
        <w:rPr>
          <w:rFonts w:hint="eastAsia" w:ascii="宋体" w:hAnsi="宋体" w:eastAsia="宋体"/>
          <w:sz w:val="24"/>
          <w:szCs w:val="24"/>
          <w:highlight w:val="none"/>
          <w:lang w:val="en-US" w:eastAsia="zh-CN"/>
        </w:rPr>
        <w:t>鼓楼区紫竹林3号</w:t>
      </w:r>
    </w:p>
    <w:p>
      <w:pPr>
        <w:pStyle w:val="24"/>
        <w:autoSpaceDE w:val="0"/>
        <w:autoSpaceDN w:val="0"/>
        <w:spacing w:line="360" w:lineRule="auto"/>
        <w:jc w:val="left"/>
        <w:textAlignment w:val="top"/>
        <w:rPr>
          <w:rFonts w:hint="default" w:ascii="宋体" w:hAnsi="宋体" w:eastAsia="宋体"/>
          <w:color w:val="000000"/>
          <w:sz w:val="24"/>
          <w:szCs w:val="24"/>
          <w:highlight w:val="none"/>
          <w:lang w:val="en-US" w:eastAsia="zh-CN"/>
        </w:rPr>
      </w:pPr>
      <w:r>
        <w:rPr>
          <w:rFonts w:hint="eastAsia" w:ascii="宋体" w:hAnsi="宋体" w:eastAsia="宋体"/>
          <w:sz w:val="24"/>
          <w:szCs w:val="24"/>
          <w:highlight w:val="none"/>
        </w:rPr>
        <w:t>（6）邮</w:t>
      </w:r>
      <w:r>
        <w:rPr>
          <w:rFonts w:hint="eastAsia" w:ascii="宋体" w:hAnsi="宋体" w:eastAsia="宋体"/>
          <w:sz w:val="24"/>
          <w:szCs w:val="24"/>
          <w:highlight w:val="none"/>
        </w:rPr>
        <w:tab/>
      </w:r>
      <w:r>
        <w:rPr>
          <w:rFonts w:hint="eastAsia" w:ascii="宋体" w:hAnsi="宋体" w:eastAsia="宋体"/>
          <w:sz w:val="24"/>
          <w:szCs w:val="24"/>
          <w:highlight w:val="none"/>
        </w:rPr>
        <w:t>编：2100</w:t>
      </w:r>
      <w:r>
        <w:rPr>
          <w:rFonts w:hint="eastAsia" w:ascii="宋体" w:hAnsi="宋体" w:eastAsia="宋体"/>
          <w:sz w:val="24"/>
          <w:szCs w:val="24"/>
          <w:highlight w:val="none"/>
          <w:lang w:val="en-US" w:eastAsia="zh-CN"/>
        </w:rPr>
        <w:t>03</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20.3</w:t>
      </w:r>
      <w:r>
        <w:rPr>
          <w:rFonts w:hint="eastAsia" w:ascii="宋体" w:hAnsi="宋体" w:eastAsia="宋体"/>
          <w:color w:val="000000"/>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b/>
          <w:bCs/>
          <w:color w:val="000000"/>
          <w:sz w:val="24"/>
          <w:szCs w:val="24"/>
          <w:highlight w:val="none"/>
        </w:rPr>
        <w:t>质疑供应商是指直接参加本项目询比活动的供应商；</w:t>
      </w:r>
      <w:r>
        <w:rPr>
          <w:rFonts w:hint="eastAsia" w:ascii="宋体" w:hAnsi="宋体" w:eastAsia="宋体"/>
          <w:color w:val="000000"/>
          <w:sz w:val="24"/>
          <w:szCs w:val="24"/>
          <w:highlight w:val="none"/>
        </w:rPr>
        <w:t>对询比文件提出质疑的，应自供应商获得询比文件之日起计算，且应当在</w:t>
      </w:r>
      <w:r>
        <w:rPr>
          <w:rFonts w:hint="eastAsia" w:ascii="宋体" w:hAnsi="宋体" w:eastAsia="宋体"/>
          <w:color w:val="000000"/>
          <w:sz w:val="24"/>
          <w:szCs w:val="24"/>
          <w:highlight w:val="none"/>
          <w:lang w:eastAsia="zh-CN"/>
        </w:rPr>
        <w:t>投标</w:t>
      </w:r>
      <w:r>
        <w:rPr>
          <w:rFonts w:hint="eastAsia" w:ascii="宋体" w:hAnsi="宋体" w:eastAsia="宋体"/>
          <w:color w:val="000000"/>
          <w:sz w:val="24"/>
          <w:szCs w:val="24"/>
          <w:highlight w:val="none"/>
        </w:rPr>
        <w:t>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5</w:t>
      </w:r>
      <w:r>
        <w:rPr>
          <w:rFonts w:ascii="宋体" w:hAnsi="宋体" w:eastAsia="宋体"/>
          <w:color w:val="000000"/>
          <w:sz w:val="24"/>
          <w:szCs w:val="24"/>
          <w:highlight w:val="none"/>
        </w:rPr>
        <w:tab/>
      </w:r>
      <w:r>
        <w:rPr>
          <w:rFonts w:ascii="宋体" w:hAnsi="宋体" w:eastAsia="宋体"/>
          <w:color w:val="000000"/>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highlight w:val="none"/>
          <w:lang w:val="en-US" w:eastAsia="zh-CN"/>
        </w:rPr>
        <w:t>采购人</w:t>
      </w:r>
      <w:r>
        <w:rPr>
          <w:rFonts w:ascii="宋体" w:hAnsi="宋体" w:eastAsia="宋体"/>
          <w:color w:val="000000"/>
          <w:sz w:val="24"/>
          <w:szCs w:val="24"/>
          <w:highlight w:val="none"/>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20.6 </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highlight w:val="none"/>
        </w:rPr>
      </w:pPr>
      <w:r>
        <w:rPr>
          <w:rFonts w:hint="eastAsia" w:ascii="宋体" w:hAnsi="宋体" w:eastAsia="宋体"/>
          <w:b/>
          <w:bCs/>
          <w:color w:val="000000"/>
          <w:sz w:val="24"/>
          <w:szCs w:val="24"/>
          <w:highlight w:val="none"/>
          <w:lang w:val="en-US"/>
        </w:rPr>
        <w:t>21</w:t>
      </w:r>
      <w:r>
        <w:rPr>
          <w:rFonts w:hint="eastAsia" w:ascii="宋体" w:hAnsi="宋体" w:eastAsia="宋体"/>
          <w:b/>
          <w:bCs/>
          <w:color w:val="000000"/>
          <w:sz w:val="24"/>
          <w:szCs w:val="24"/>
          <w:highlight w:val="none"/>
        </w:rPr>
        <w:t>、投诉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21</w:t>
      </w:r>
      <w:r>
        <w:rPr>
          <w:rFonts w:hint="eastAsia" w:ascii="宋体" w:hAnsi="宋体" w:eastAsia="宋体"/>
          <w:color w:val="000000"/>
          <w:sz w:val="24"/>
          <w:szCs w:val="24"/>
          <w:highlight w:val="none"/>
        </w:rPr>
        <w:t>.1质疑供应商对</w:t>
      </w:r>
      <w:r>
        <w:rPr>
          <w:rFonts w:hint="eastAsia" w:ascii="宋体" w:hAnsi="宋体" w:eastAsia="宋体"/>
          <w:spacing w:val="-4"/>
          <w:sz w:val="24"/>
          <w:szCs w:val="24"/>
          <w:highlight w:val="none"/>
        </w:rPr>
        <w:t>采购人</w:t>
      </w:r>
      <w:r>
        <w:rPr>
          <w:rFonts w:hint="eastAsia" w:ascii="宋体" w:hAnsi="宋体" w:eastAsia="宋体"/>
          <w:color w:val="000000"/>
          <w:sz w:val="24"/>
          <w:szCs w:val="24"/>
          <w:highlight w:val="none"/>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22</w:t>
      </w:r>
      <w:r>
        <w:rPr>
          <w:rFonts w:hint="eastAsia" w:ascii="宋体" w:hAnsi="宋体" w:eastAsia="宋体"/>
          <w:b/>
          <w:bCs/>
          <w:color w:val="000000"/>
          <w:sz w:val="24"/>
          <w:szCs w:val="24"/>
          <w:highlight w:val="none"/>
        </w:rPr>
        <w:t>、诚实信用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.2供应商不得以向</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、评审小组行贿或者采取其他不正当手段谋取</w:t>
      </w:r>
      <w:r>
        <w:rPr>
          <w:rFonts w:hint="eastAsia" w:ascii="宋体" w:hAnsi="宋体" w:eastAsia="宋体"/>
          <w:sz w:val="24"/>
          <w:szCs w:val="24"/>
          <w:highlight w:val="none"/>
          <w:lang w:val="en-US"/>
        </w:rPr>
        <w:t>成交</w:t>
      </w:r>
      <w:r>
        <w:rPr>
          <w:rFonts w:hint="eastAsia" w:ascii="宋体" w:hAnsi="宋体" w:eastAsia="宋体"/>
          <w:sz w:val="24"/>
          <w:szCs w:val="24"/>
          <w:highlight w:val="none"/>
        </w:rPr>
        <w:t>。经查实供应商有此行为的，采购监督管理部门将供应商列入不良行为记录名单，按照有关</w:t>
      </w:r>
      <w:r>
        <w:rPr>
          <w:rFonts w:hint="eastAsia" w:ascii="宋体" w:hAnsi="宋体" w:eastAsia="宋体"/>
          <w:sz w:val="24"/>
          <w:szCs w:val="24"/>
          <w:highlight w:val="none"/>
          <w:lang w:val="en-US"/>
        </w:rPr>
        <w:t>法律</w:t>
      </w:r>
      <w:r>
        <w:rPr>
          <w:rFonts w:hint="eastAsia" w:ascii="宋体" w:hAnsi="宋体" w:eastAsia="宋体"/>
          <w:sz w:val="24"/>
          <w:szCs w:val="24"/>
          <w:highlight w:val="none"/>
        </w:rPr>
        <w:t>规定处理。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供应商不得虚假承诺，否则，按照提供虚假材料谋取成交处理。</w:t>
      </w:r>
    </w:p>
    <w:p>
      <w:pPr>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color w:val="000000"/>
          <w:sz w:val="24"/>
          <w:szCs w:val="24"/>
          <w:highlight w:val="none"/>
          <w:lang w:val="en-US"/>
        </w:rPr>
        <w:t>2</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color w:val="000000"/>
          <w:sz w:val="24"/>
          <w:szCs w:val="24"/>
          <w:highlight w:val="none"/>
        </w:rPr>
        <w:t>供应商应自觉遵守</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评审纪律，扰乱询比评审现场秩序的，属于失信行为，根据《</w:t>
      </w:r>
      <w:r>
        <w:rPr>
          <w:rFonts w:hint="eastAsia" w:ascii="宋体" w:hAnsi="宋体" w:eastAsia="宋体"/>
          <w:sz w:val="24"/>
          <w:szCs w:val="24"/>
          <w:highlight w:val="none"/>
        </w:rPr>
        <w:t>南京市政府采购供应商信用管理工作暂行办法</w:t>
      </w:r>
      <w:r>
        <w:rPr>
          <w:rFonts w:hint="eastAsia" w:ascii="宋体" w:hAnsi="宋体" w:eastAsia="宋体"/>
          <w:color w:val="000000"/>
          <w:sz w:val="24"/>
          <w:szCs w:val="24"/>
          <w:highlight w:val="none"/>
        </w:rPr>
        <w:t>》，失信行为将被记入供应商诚信档案。</w:t>
      </w:r>
    </w:p>
    <w:p>
      <w:pPr>
        <w:rPr>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highlight w:val="none"/>
        </w:rPr>
      </w:pPr>
      <w:r>
        <w:rPr>
          <w:rFonts w:hint="eastAsia" w:hAnsi="黑体" w:cs="黑体"/>
          <w:bCs/>
          <w:sz w:val="32"/>
          <w:szCs w:val="44"/>
          <w:highlight w:val="none"/>
        </w:rPr>
        <w:t>第三章  成交标准</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1、</w:t>
      </w:r>
      <w:r>
        <w:rPr>
          <w:rFonts w:hint="eastAsia" w:ascii="宋体" w:hAnsi="宋体" w:eastAsia="宋体"/>
          <w:b/>
          <w:bCs/>
          <w:color w:val="000000"/>
          <w:sz w:val="24"/>
          <w:szCs w:val="24"/>
          <w:highlight w:val="none"/>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lang w:val="en-US"/>
        </w:rPr>
        <w:t>2、</w:t>
      </w:r>
      <w:r>
        <w:rPr>
          <w:rFonts w:hint="eastAsia" w:ascii="宋体" w:hAnsi="宋体" w:eastAsia="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highlight w:val="none"/>
        </w:rPr>
      </w:pPr>
      <w:r>
        <w:rPr>
          <w:rFonts w:hint="eastAsia"/>
          <w:b/>
          <w:color w:val="000000"/>
          <w:sz w:val="21"/>
          <w:szCs w:val="21"/>
          <w:highlight w:val="none"/>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对国家认定的节能产品和环保产品分别给予投标价的</w:t>
      </w:r>
      <w:r>
        <w:rPr>
          <w:rFonts w:hint="eastAsia"/>
          <w:b/>
          <w:bCs/>
          <w:sz w:val="21"/>
          <w:szCs w:val="21"/>
          <w:highlight w:val="none"/>
        </w:rPr>
        <w:t xml:space="preserve"> 5%</w:t>
      </w:r>
      <w:r>
        <w:rPr>
          <w:rFonts w:hint="eastAsia" w:ascii="宋体" w:hAnsi="宋体" w:eastAsia="宋体"/>
          <w:b/>
          <w:bCs/>
          <w:sz w:val="21"/>
          <w:szCs w:val="21"/>
          <w:highlight w:val="none"/>
        </w:rPr>
        <w:t>、</w:t>
      </w:r>
      <w:r>
        <w:rPr>
          <w:rFonts w:hint="eastAsia"/>
          <w:b/>
          <w:bCs/>
          <w:sz w:val="21"/>
          <w:szCs w:val="21"/>
          <w:highlight w:val="none"/>
        </w:rPr>
        <w:t>5%</w:t>
      </w:r>
      <w:r>
        <w:rPr>
          <w:rFonts w:hint="eastAsia" w:ascii="宋体" w:hAnsi="宋体" w:eastAsia="宋体"/>
          <w:b/>
          <w:bCs/>
          <w:sz w:val="21"/>
          <w:szCs w:val="21"/>
          <w:highlight w:val="none"/>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小微企业的价格扣除</w:t>
      </w:r>
    </w:p>
    <w:p>
      <w:pPr>
        <w:pStyle w:val="273"/>
        <w:adjustRightInd w:val="0"/>
        <w:snapToGrid w:val="0"/>
        <w:spacing w:line="560" w:lineRule="exact"/>
        <w:ind w:firstLine="0" w:firstLineChars="0"/>
        <w:rPr>
          <w:sz w:val="21"/>
          <w:szCs w:val="21"/>
          <w:highlight w:val="none"/>
        </w:rPr>
      </w:pPr>
      <w:r>
        <w:rPr>
          <w:rFonts w:hint="eastAsia" w:ascii="宋体" w:hAnsi="宋体" w:eastAsia="宋体"/>
          <w:sz w:val="21"/>
          <w:szCs w:val="21"/>
          <w:highlight w:val="none"/>
        </w:rPr>
        <w:t>对小型和微型企业产品的价格给予</w:t>
      </w:r>
      <w:r>
        <w:rPr>
          <w:sz w:val="21"/>
          <w:szCs w:val="21"/>
          <w:highlight w:val="none"/>
        </w:rPr>
        <w:t>10%</w:t>
      </w:r>
      <w:r>
        <w:rPr>
          <w:rFonts w:hint="eastAsia" w:ascii="宋体" w:hAnsi="宋体" w:eastAsia="宋体"/>
          <w:sz w:val="21"/>
          <w:szCs w:val="21"/>
          <w:highlight w:val="none"/>
        </w:rPr>
        <w:t>的扣除，用扣除后的价格参与评审。参加投标的中小企业，应当按照《政府采购促进中小企业发展管理办法》（财库〔</w:t>
      </w:r>
      <w:r>
        <w:rPr>
          <w:sz w:val="21"/>
          <w:szCs w:val="21"/>
          <w:highlight w:val="none"/>
        </w:rPr>
        <w:t>2020</w:t>
      </w:r>
      <w:r>
        <w:rPr>
          <w:rFonts w:hint="eastAsia" w:ascii="宋体" w:hAnsi="宋体" w:eastAsia="宋体"/>
          <w:sz w:val="21"/>
          <w:szCs w:val="21"/>
          <w:highlight w:val="none"/>
        </w:rPr>
        <w:t>〕</w:t>
      </w:r>
      <w:r>
        <w:rPr>
          <w:sz w:val="21"/>
          <w:szCs w:val="21"/>
          <w:highlight w:val="none"/>
        </w:rPr>
        <w:t>46</w:t>
      </w:r>
      <w:r>
        <w:rPr>
          <w:rFonts w:hint="eastAsia" w:ascii="宋体" w:hAnsi="宋体" w:eastAsia="宋体"/>
          <w:sz w:val="21"/>
          <w:szCs w:val="21"/>
          <w:highlight w:val="none"/>
        </w:rPr>
        <w:t>号）的规定提供《中小企业声明函》（货物</w:t>
      </w:r>
      <w:r>
        <w:rPr>
          <w:sz w:val="21"/>
          <w:szCs w:val="21"/>
          <w:highlight w:val="none"/>
        </w:rPr>
        <w:t>/</w:t>
      </w:r>
      <w:r>
        <w:rPr>
          <w:rFonts w:hint="eastAsia" w:ascii="宋体" w:hAnsi="宋体" w:eastAsia="宋体"/>
          <w:sz w:val="21"/>
          <w:szCs w:val="21"/>
          <w:highlight w:val="none"/>
        </w:rPr>
        <w:t>服务）（中小企业划型标准详见《关于印发中小企业划型标准规定的通知》工信部联企业〔</w:t>
      </w:r>
      <w:r>
        <w:rPr>
          <w:sz w:val="21"/>
          <w:szCs w:val="21"/>
          <w:highlight w:val="none"/>
        </w:rPr>
        <w:t>2011</w:t>
      </w:r>
      <w:r>
        <w:rPr>
          <w:rFonts w:hint="eastAsia" w:ascii="宋体" w:hAnsi="宋体" w:eastAsia="宋体"/>
          <w:sz w:val="21"/>
          <w:szCs w:val="21"/>
          <w:highlight w:val="none"/>
        </w:rPr>
        <w:t>〕</w:t>
      </w:r>
      <w:r>
        <w:rPr>
          <w:sz w:val="21"/>
          <w:szCs w:val="21"/>
          <w:highlight w:val="none"/>
        </w:rPr>
        <w:t>300</w:t>
      </w:r>
      <w:r>
        <w:rPr>
          <w:rFonts w:hint="eastAsia" w:ascii="宋体" w:hAnsi="宋体" w:eastAsia="宋体"/>
          <w:sz w:val="21"/>
          <w:szCs w:val="21"/>
          <w:highlight w:val="none"/>
        </w:rPr>
        <w:t>号）。</w:t>
      </w:r>
    </w:p>
    <w:p>
      <w:pPr>
        <w:adjustRightInd w:val="0"/>
        <w:snapToGrid w:val="0"/>
        <w:spacing w:line="560" w:lineRule="exact"/>
        <w:rPr>
          <w:sz w:val="21"/>
          <w:szCs w:val="21"/>
          <w:highlight w:val="none"/>
        </w:rPr>
      </w:pPr>
      <w:r>
        <w:rPr>
          <w:rFonts w:hint="eastAsia"/>
          <w:b/>
          <w:bCs/>
          <w:sz w:val="21"/>
          <w:szCs w:val="21"/>
          <w:highlight w:val="none"/>
        </w:rPr>
        <w:t>3</w:t>
      </w:r>
      <w:r>
        <w:rPr>
          <w:rFonts w:hint="eastAsia" w:ascii="宋体" w:hAnsi="宋体" w:eastAsia="宋体"/>
          <w:b/>
          <w:bCs/>
          <w:sz w:val="21"/>
          <w:szCs w:val="21"/>
          <w:highlight w:val="none"/>
        </w:rPr>
        <w:t>、监狱和戒毒企业的价格扣除</w:t>
      </w:r>
    </w:p>
    <w:p>
      <w:pPr>
        <w:adjustRightInd w:val="0"/>
        <w:snapToGrid w:val="0"/>
        <w:spacing w:line="560" w:lineRule="exact"/>
        <w:rPr>
          <w:sz w:val="21"/>
          <w:szCs w:val="21"/>
          <w:highlight w:val="none"/>
        </w:rPr>
      </w:pPr>
      <w:r>
        <w:rPr>
          <w:rFonts w:hint="eastAsia"/>
          <w:sz w:val="21"/>
          <w:szCs w:val="21"/>
          <w:highlight w:val="none"/>
        </w:rPr>
        <w:t>3.1</w:t>
      </w:r>
      <w:r>
        <w:rPr>
          <w:rFonts w:hint="eastAsia" w:ascii="宋体" w:hAnsi="宋体" w:eastAsia="宋体"/>
          <w:sz w:val="21"/>
          <w:szCs w:val="21"/>
          <w:highlight w:val="none"/>
        </w:rPr>
        <w:t>本项目对监狱和戒毒企业（简称监狱企业），给予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3.2</w:t>
      </w:r>
      <w:r>
        <w:rPr>
          <w:rFonts w:hint="eastAsia" w:ascii="宋体" w:hAnsi="宋体" w:eastAsia="宋体"/>
          <w:sz w:val="21"/>
          <w:szCs w:val="21"/>
          <w:highlight w:val="none"/>
        </w:rPr>
        <w:t>监狱企业需提供由省级以上监狱管理局、戒毒管理局（含新疆生产建设兵团）出具的属于监狱企业的证明文件。</w:t>
      </w:r>
    </w:p>
    <w:p>
      <w:pPr>
        <w:adjustRightInd w:val="0"/>
        <w:snapToGrid w:val="0"/>
        <w:spacing w:line="560" w:lineRule="exact"/>
        <w:rPr>
          <w:sz w:val="21"/>
          <w:szCs w:val="21"/>
          <w:highlight w:val="none"/>
        </w:rPr>
      </w:pPr>
      <w:r>
        <w:rPr>
          <w:rFonts w:hint="eastAsia"/>
          <w:sz w:val="21"/>
          <w:szCs w:val="21"/>
          <w:highlight w:val="none"/>
        </w:rPr>
        <w:t>3.3</w:t>
      </w:r>
      <w:r>
        <w:rPr>
          <w:rFonts w:hint="eastAsia" w:ascii="宋体" w:hAnsi="宋体" w:eastAsia="宋体"/>
          <w:sz w:val="21"/>
          <w:szCs w:val="21"/>
          <w:highlight w:val="none"/>
        </w:rPr>
        <w:t>监狱企业标准请参照《关于政府采购支持监狱企业发展有关问题的通知》（财库</w:t>
      </w:r>
      <w:r>
        <w:rPr>
          <w:rFonts w:hint="eastAsia"/>
          <w:sz w:val="21"/>
          <w:szCs w:val="21"/>
          <w:highlight w:val="none"/>
        </w:rPr>
        <w:t>[2014]68</w:t>
      </w:r>
      <w:r>
        <w:rPr>
          <w:rFonts w:hint="eastAsia" w:ascii="宋体" w:hAnsi="宋体" w:eastAsia="宋体"/>
          <w:sz w:val="21"/>
          <w:szCs w:val="21"/>
          <w:highlight w:val="none"/>
        </w:rPr>
        <w:t>号）。</w:t>
      </w:r>
    </w:p>
    <w:p>
      <w:pPr>
        <w:adjustRightInd w:val="0"/>
        <w:snapToGrid w:val="0"/>
        <w:spacing w:line="560" w:lineRule="exact"/>
        <w:rPr>
          <w:b/>
          <w:bCs/>
          <w:sz w:val="21"/>
          <w:szCs w:val="21"/>
          <w:highlight w:val="none"/>
        </w:rPr>
      </w:pPr>
      <w:r>
        <w:rPr>
          <w:rFonts w:hint="eastAsia"/>
          <w:b/>
          <w:bCs/>
          <w:sz w:val="21"/>
          <w:szCs w:val="21"/>
          <w:highlight w:val="none"/>
        </w:rPr>
        <w:t>4</w:t>
      </w:r>
      <w:r>
        <w:rPr>
          <w:rFonts w:hint="eastAsia" w:ascii="宋体" w:hAnsi="宋体" w:eastAsia="宋体"/>
          <w:b/>
          <w:bCs/>
          <w:sz w:val="21"/>
          <w:szCs w:val="21"/>
          <w:highlight w:val="none"/>
        </w:rPr>
        <w:t>、残疾人福利性单位的价格扣除</w:t>
      </w:r>
    </w:p>
    <w:p>
      <w:pPr>
        <w:adjustRightInd w:val="0"/>
        <w:snapToGrid w:val="0"/>
        <w:spacing w:line="560" w:lineRule="exact"/>
        <w:rPr>
          <w:sz w:val="21"/>
          <w:szCs w:val="21"/>
          <w:highlight w:val="none"/>
        </w:rPr>
      </w:pPr>
      <w:r>
        <w:rPr>
          <w:rFonts w:hint="eastAsia"/>
          <w:sz w:val="21"/>
          <w:szCs w:val="21"/>
          <w:highlight w:val="none"/>
        </w:rPr>
        <w:t>4.1</w:t>
      </w:r>
      <w:r>
        <w:rPr>
          <w:rFonts w:hint="eastAsia" w:ascii="宋体" w:hAnsi="宋体" w:eastAsia="宋体"/>
          <w:sz w:val="21"/>
          <w:szCs w:val="21"/>
          <w:highlight w:val="none"/>
        </w:rPr>
        <w:t>本项目对残疾人福利性单位，给予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4.2</w:t>
      </w:r>
      <w:r>
        <w:rPr>
          <w:rFonts w:hint="eastAsia" w:ascii="宋体" w:hAnsi="宋体" w:eastAsia="宋体"/>
          <w:sz w:val="21"/>
          <w:szCs w:val="21"/>
          <w:highlight w:val="none"/>
        </w:rPr>
        <w:t>残疾人福利单位需按照采购文件的要求提供《残疾人福利性单位声明函》。</w:t>
      </w:r>
    </w:p>
    <w:p>
      <w:pPr>
        <w:adjustRightInd w:val="0"/>
        <w:snapToGrid w:val="0"/>
        <w:spacing w:line="560" w:lineRule="exact"/>
        <w:rPr>
          <w:sz w:val="21"/>
          <w:szCs w:val="21"/>
          <w:highlight w:val="none"/>
        </w:rPr>
      </w:pPr>
      <w:r>
        <w:rPr>
          <w:rFonts w:hint="eastAsia"/>
          <w:sz w:val="21"/>
          <w:szCs w:val="21"/>
          <w:highlight w:val="none"/>
        </w:rPr>
        <w:t>4.3</w:t>
      </w:r>
      <w:r>
        <w:rPr>
          <w:rFonts w:hint="eastAsia" w:ascii="宋体" w:hAnsi="宋体" w:eastAsia="宋体"/>
          <w:sz w:val="21"/>
          <w:szCs w:val="21"/>
          <w:highlight w:val="none"/>
        </w:rPr>
        <w:t>残疾人福利单位标准请参照《关于促进残疾人就业政府采购政策的通知》（财库〔</w:t>
      </w:r>
      <w:r>
        <w:rPr>
          <w:rFonts w:hint="eastAsia"/>
          <w:sz w:val="21"/>
          <w:szCs w:val="21"/>
          <w:highlight w:val="none"/>
        </w:rPr>
        <w:t>2017</w:t>
      </w:r>
      <w:r>
        <w:rPr>
          <w:rFonts w:hint="eastAsia" w:ascii="宋体" w:hAnsi="宋体" w:eastAsia="宋体"/>
          <w:sz w:val="21"/>
          <w:szCs w:val="21"/>
          <w:highlight w:val="none"/>
        </w:rPr>
        <w:t>〕</w:t>
      </w:r>
      <w:r>
        <w:rPr>
          <w:rFonts w:hint="eastAsia"/>
          <w:sz w:val="21"/>
          <w:szCs w:val="21"/>
          <w:highlight w:val="none"/>
        </w:rPr>
        <w:t>141</w:t>
      </w:r>
      <w:r>
        <w:rPr>
          <w:rFonts w:hint="eastAsia" w:ascii="宋体" w:hAnsi="宋体" w:eastAsia="宋体"/>
          <w:sz w:val="21"/>
          <w:szCs w:val="21"/>
          <w:highlight w:val="none"/>
        </w:rPr>
        <w:t>号）。</w:t>
      </w:r>
    </w:p>
    <w:p>
      <w:pPr>
        <w:adjustRightInd w:val="0"/>
        <w:snapToGrid w:val="0"/>
        <w:spacing w:line="560" w:lineRule="exact"/>
        <w:rPr>
          <w:rFonts w:eastAsia="MS Mincho"/>
          <w:b/>
          <w:sz w:val="21"/>
          <w:szCs w:val="21"/>
          <w:highlight w:val="none"/>
        </w:rPr>
      </w:pPr>
      <w:r>
        <w:rPr>
          <w:rFonts w:hint="eastAsia"/>
          <w:b/>
          <w:bCs/>
          <w:sz w:val="21"/>
          <w:szCs w:val="21"/>
          <w:highlight w:val="none"/>
        </w:rPr>
        <w:t>5</w:t>
      </w:r>
      <w:r>
        <w:rPr>
          <w:rFonts w:hint="eastAsia" w:ascii="宋体" w:hAnsi="宋体" w:eastAsia="宋体"/>
          <w:b/>
          <w:bCs/>
          <w:sz w:val="21"/>
          <w:szCs w:val="21"/>
          <w:highlight w:val="none"/>
        </w:rPr>
        <w:t>、监狱企业、残疾人福利单位属于小型、微型企业的，不重复享受政策。</w:t>
      </w:r>
    </w:p>
    <w:p>
      <w:pPr>
        <w:adjustRightInd w:val="0"/>
        <w:snapToGrid w:val="0"/>
        <w:spacing w:line="560" w:lineRule="exact"/>
        <w:rPr>
          <w:b/>
          <w:bCs/>
          <w:sz w:val="21"/>
          <w:szCs w:val="21"/>
          <w:highlight w:val="none"/>
        </w:rPr>
      </w:pPr>
      <w:r>
        <w:rPr>
          <w:rFonts w:hint="eastAsia"/>
          <w:b/>
          <w:bCs/>
          <w:sz w:val="21"/>
          <w:szCs w:val="21"/>
          <w:highlight w:val="none"/>
          <w:lang w:val="en-US" w:eastAsia="zh-CN"/>
        </w:rPr>
        <w:t>6</w:t>
      </w:r>
      <w:r>
        <w:rPr>
          <w:rFonts w:hint="eastAsia" w:ascii="宋体" w:hAnsi="宋体" w:eastAsia="宋体"/>
          <w:b/>
          <w:bCs/>
          <w:sz w:val="21"/>
          <w:szCs w:val="21"/>
          <w:highlight w:val="none"/>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第四章  询比项目需求</w:t>
      </w:r>
    </w:p>
    <w:p>
      <w:pPr>
        <w:pStyle w:val="427"/>
        <w:tabs>
          <w:tab w:val="clear" w:pos="1760"/>
        </w:tabs>
        <w:spacing w:before="0"/>
        <w:ind w:left="0" w:leftChars="0" w:right="0" w:rightChars="0"/>
        <w:rPr>
          <w:rFonts w:hint="eastAsia" w:ascii="宋体" w:hAnsi="宋体" w:eastAsia="宋体"/>
          <w:color w:val="000000"/>
          <w:sz w:val="24"/>
          <w:szCs w:val="24"/>
          <w:highlight w:val="none"/>
          <w:lang w:val="en-US"/>
        </w:rPr>
      </w:pPr>
      <w:r>
        <w:rPr>
          <w:rFonts w:hint="eastAsia"/>
          <w:highlight w:val="none"/>
        </w:rPr>
        <w:t>一、项目概况</w:t>
      </w:r>
    </w:p>
    <w:p>
      <w:pPr>
        <w:spacing w:line="360" w:lineRule="auto"/>
        <w:ind w:firstLine="480" w:firstLineChars="2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rPr>
        <w:t>本项目</w:t>
      </w:r>
      <w:r>
        <w:rPr>
          <w:rFonts w:hint="eastAsia" w:ascii="宋体" w:hAnsi="宋体" w:eastAsia="宋体"/>
          <w:color w:val="000000"/>
          <w:sz w:val="24"/>
          <w:szCs w:val="24"/>
          <w:highlight w:val="none"/>
          <w:lang w:val="en-US" w:eastAsia="zh-CN"/>
        </w:rPr>
        <w:t>针对都市圈慢病防控云平台进行维保。</w:t>
      </w:r>
    </w:p>
    <w:p>
      <w:pPr>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sz w:val="24"/>
          <w:szCs w:val="24"/>
          <w:highlight w:val="none"/>
        </w:rPr>
        <w:t>平台</w:t>
      </w:r>
      <w:r>
        <w:rPr>
          <w:rFonts w:hint="eastAsia" w:ascii="宋体" w:hAnsi="宋体" w:eastAsia="宋体"/>
          <w:sz w:val="24"/>
          <w:szCs w:val="24"/>
          <w:highlight w:val="none"/>
          <w:lang w:val="en-US" w:eastAsia="zh-CN"/>
        </w:rPr>
        <w:t>以</w:t>
      </w:r>
      <w:r>
        <w:rPr>
          <w:rFonts w:hint="eastAsia" w:ascii="宋体" w:hAnsi="宋体" w:eastAsia="宋体"/>
          <w:sz w:val="24"/>
          <w:szCs w:val="24"/>
          <w:highlight w:val="none"/>
          <w:lang w:val="en-US"/>
        </w:rPr>
        <w:t>专家服务项目</w:t>
      </w:r>
      <w:r>
        <w:rPr>
          <w:rFonts w:hint="eastAsia" w:ascii="宋体" w:hAnsi="宋体" w:eastAsia="宋体"/>
          <w:sz w:val="24"/>
          <w:szCs w:val="24"/>
          <w:highlight w:val="none"/>
        </w:rPr>
        <w:t>建设</w:t>
      </w:r>
      <w:r>
        <w:rPr>
          <w:rFonts w:hint="eastAsia" w:ascii="宋体" w:hAnsi="宋体" w:eastAsia="宋体"/>
          <w:sz w:val="24"/>
          <w:szCs w:val="24"/>
          <w:highlight w:val="none"/>
          <w:lang w:val="en-US"/>
        </w:rPr>
        <w:t>为基础，</w:t>
      </w:r>
      <w:r>
        <w:rPr>
          <w:rFonts w:hint="eastAsia" w:ascii="宋体" w:hAnsi="宋体" w:eastAsia="宋体"/>
          <w:color w:val="000000"/>
          <w:sz w:val="24"/>
          <w:szCs w:val="24"/>
          <w:highlight w:val="none"/>
          <w:lang w:val="en-US"/>
        </w:rPr>
        <w:t>打破传统慢病管理模式，通过信息化手段构建慢病专家团队服务体系。实施慢病患者临床管理项目，与患者线上签约管理，在线通过三级医院专家医生团队及医联体基层医院医生，对患者实施临床干预措施，减少主要健康危险因素，慢病预防工作得以加强。</w:t>
      </w:r>
    </w:p>
    <w:p>
      <w:pPr>
        <w:pStyle w:val="2"/>
        <w:spacing w:line="360" w:lineRule="auto"/>
        <w:ind w:left="0" w:leftChars="0" w:firstLine="480" w:firstLineChars="200"/>
        <w:rPr>
          <w:rFonts w:hint="eastAsia"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项目主要以慢病患者为服务对象、三级医院专家医生团队和医联体基层医院医生医资力量为依托、以专业化服务为主要形式、以平台为支撑，形成功能完善、规模适度、覆盖全区域、全方位的慢病医疗服务有机体系。</w:t>
      </w:r>
    </w:p>
    <w:p>
      <w:pPr>
        <w:rPr>
          <w:highlight w:val="none"/>
        </w:rPr>
      </w:pPr>
    </w:p>
    <w:p>
      <w:pPr>
        <w:pStyle w:val="427"/>
        <w:tabs>
          <w:tab w:val="clear" w:pos="1760"/>
        </w:tabs>
        <w:spacing w:before="0"/>
        <w:ind w:left="0" w:leftChars="0" w:right="0" w:rightChars="0"/>
        <w:rPr>
          <w:highlight w:val="none"/>
        </w:rPr>
      </w:pPr>
      <w:r>
        <w:rPr>
          <w:rFonts w:hint="eastAsia"/>
          <w:highlight w:val="none"/>
          <w:lang w:eastAsia="zh-CN"/>
        </w:rPr>
        <w:t>二、</w:t>
      </w:r>
      <w:r>
        <w:rPr>
          <w:rFonts w:hint="eastAsia"/>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zh-CN"/>
              </w:rPr>
            </w:pPr>
            <w:r>
              <w:rPr>
                <w:rFonts w:hint="eastAsia" w:ascii="宋体" w:hAnsi="宋体" w:eastAsia="宋体"/>
                <w:sz w:val="21"/>
                <w:szCs w:val="21"/>
                <w:highlight w:val="none"/>
                <w:lang w:val="en-US" w:eastAsia="zh-CN"/>
              </w:rPr>
              <w:t>采购标的所属行业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1</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都市圈慢病防控云平台维保</w:t>
            </w:r>
            <w:r>
              <w:rPr>
                <w:rFonts w:ascii="宋体" w:hAnsi="宋体" w:eastAsia="宋体"/>
                <w:sz w:val="24"/>
                <w:szCs w:val="24"/>
                <w:highlight w:val="none"/>
                <w:lang w:eastAsia="en-US"/>
              </w:rPr>
              <w:t xml:space="preserve"> </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ind w:left="0" w:leftChars="0"/>
              <w:jc w:val="center"/>
              <w:rPr>
                <w:rFonts w:ascii="宋体" w:hAnsi="宋体" w:eastAsia="宋体" w:cs="宋体"/>
                <w:sz w:val="24"/>
                <w:szCs w:val="24"/>
                <w:highlight w:val="none"/>
                <w:lang w:val="en-US" w:eastAsia="en-US" w:bidi="ar-SA"/>
              </w:rPr>
            </w:pPr>
            <w:r>
              <w:rPr>
                <w:rFonts w:hint="eastAsia" w:ascii="宋体" w:hAnsi="宋体" w:eastAsia="宋体"/>
                <w:sz w:val="24"/>
                <w:szCs w:val="24"/>
                <w:highlight w:val="none"/>
                <w:lang w:eastAsia="en-US"/>
              </w:rPr>
              <w:t>服务</w:t>
            </w:r>
          </w:p>
        </w:tc>
      </w:tr>
    </w:tbl>
    <w:p>
      <w:pPr>
        <w:pStyle w:val="2"/>
        <w:ind w:left="0"/>
        <w:rPr>
          <w:highlight w:val="none"/>
        </w:rPr>
      </w:pPr>
    </w:p>
    <w:p>
      <w:pPr>
        <w:rPr>
          <w:highlight w:val="none"/>
        </w:rPr>
      </w:pPr>
    </w:p>
    <w:p>
      <w:pPr>
        <w:pStyle w:val="427"/>
        <w:numPr>
          <w:ilvl w:val="0"/>
          <w:numId w:val="17"/>
        </w:numPr>
        <w:tabs>
          <w:tab w:val="clear" w:pos="1760"/>
        </w:tabs>
        <w:spacing w:before="0"/>
        <w:ind w:left="0" w:leftChars="0" w:right="0" w:rightChars="0"/>
        <w:rPr>
          <w:rFonts w:hint="eastAsia"/>
          <w:highlight w:val="none"/>
        </w:rPr>
      </w:pPr>
      <w:r>
        <w:rPr>
          <w:rFonts w:hint="eastAsia"/>
          <w:highlight w:val="none"/>
        </w:rPr>
        <w:t>技术部分要求</w:t>
      </w:r>
    </w:p>
    <w:tbl>
      <w:tblPr>
        <w:tblStyle w:val="58"/>
        <w:tblW w:w="996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760"/>
        <w:gridCol w:w="3317"/>
        <w:gridCol w:w="2084"/>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pPr>
              <w:widowControl w:val="0"/>
              <w:spacing w:line="292"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产品/服务 1：</w:t>
            </w:r>
            <w:r>
              <w:rPr>
                <w:rFonts w:ascii="Calibri" w:hAnsi="Calibri" w:eastAsia="Calibri" w:cs="宋体"/>
                <w:sz w:val="24"/>
                <w:highlight w:val="none"/>
                <w:lang w:val="zh-CN" w:eastAsia="zh-CN" w:bidi="ar-SA"/>
              </w:rPr>
              <w:t>基础设施及软件维护</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tcPr>
          <w:p>
            <w:pPr>
              <w:widowControl w:val="0"/>
              <w:spacing w:line="265" w:lineRule="exact"/>
              <w:ind w:left="399" w:right="282"/>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序号 </w:t>
            </w:r>
          </w:p>
        </w:tc>
        <w:tc>
          <w:tcPr>
            <w:tcW w:w="1760" w:type="dxa"/>
          </w:tcPr>
          <w:p>
            <w:pPr>
              <w:widowControl w:val="0"/>
              <w:spacing w:line="265" w:lineRule="exact"/>
              <w:ind w:left="255" w:right="132"/>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名称 </w:t>
            </w:r>
          </w:p>
        </w:tc>
        <w:tc>
          <w:tcPr>
            <w:tcW w:w="7034" w:type="dxa"/>
            <w:gridSpan w:val="3"/>
            <w:tcBorders>
              <w:right w:val="single" w:color="000000" w:sz="6" w:space="0"/>
            </w:tcBorders>
          </w:tcPr>
          <w:p>
            <w:pPr>
              <w:widowControl w:val="0"/>
              <w:spacing w:line="265" w:lineRule="exact"/>
              <w:ind w:left="2716"/>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功能、性能、配置或服务要求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2" w:type="dxa"/>
          </w:tcPr>
          <w:p>
            <w:pPr>
              <w:widowControl w:val="0"/>
              <w:ind w:left="399" w:right="279"/>
              <w:jc w:val="center"/>
              <w:rPr>
                <w:rFonts w:hint="eastAsia" w:ascii="Calibri" w:hAnsi="Calibri" w:cs="宋体" w:eastAsiaTheme="minorEastAsia"/>
                <w:sz w:val="22"/>
                <w:highlight w:val="none"/>
                <w:lang w:val="en-US" w:eastAsia="zh-CN" w:bidi="ar-SA"/>
              </w:rPr>
            </w:pPr>
            <w:r>
              <w:rPr>
                <w:rFonts w:hint="eastAsia" w:ascii="Calibri" w:hAnsi="Calibri" w:cs="宋体" w:eastAsiaTheme="minorEastAsia"/>
                <w:sz w:val="22"/>
                <w:highlight w:val="none"/>
                <w:lang w:val="en-US" w:eastAsia="zh-CN" w:bidi="ar-SA"/>
              </w:rPr>
              <w:t>1</w:t>
            </w:r>
          </w:p>
        </w:tc>
        <w:tc>
          <w:tcPr>
            <w:tcW w:w="1760" w:type="dxa"/>
          </w:tcPr>
          <w:p>
            <w:pPr>
              <w:widowControl w:val="0"/>
              <w:ind w:left="255" w:right="135"/>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numPr>
                <w:ilvl w:val="0"/>
                <w:numId w:val="18"/>
              </w:numPr>
              <w:tabs>
                <w:tab w:val="left" w:pos="329"/>
              </w:tabs>
              <w:spacing w:line="242" w:lineRule="auto"/>
              <w:ind w:right="-15" w:firstLine="0"/>
              <w:jc w:val="both"/>
              <w:rPr>
                <w:rFonts w:ascii="Calibri" w:hAnsi="Calibri" w:eastAsia="Calibri" w:cs="宋体"/>
                <w:highlight w:val="none"/>
                <w:lang w:val="zh-CN" w:eastAsia="zh-CN" w:bidi="ar-SA"/>
              </w:rPr>
            </w:pPr>
            <w:r>
              <w:rPr>
                <w:rFonts w:ascii="Calibri" w:hAnsi="Calibri" w:eastAsia="Calibri" w:cs="宋体"/>
                <w:spacing w:val="-10"/>
                <w:sz w:val="22"/>
                <w:highlight w:val="none"/>
                <w:lang w:val="zh-CN" w:eastAsia="zh-CN" w:bidi="ar-SA"/>
              </w:rPr>
              <w:t>供应商提供对应用系统及支撑应用软件运行的服务器、存储、数据库</w:t>
            </w:r>
            <w:r>
              <w:rPr>
                <w:rFonts w:ascii="Calibri" w:hAnsi="Calibri" w:eastAsia="Calibri" w:cs="宋体"/>
                <w:spacing w:val="-3"/>
                <w:sz w:val="22"/>
                <w:highlight w:val="none"/>
                <w:lang w:val="zh-CN" w:eastAsia="zh-CN" w:bidi="ar-SA"/>
              </w:rPr>
              <w:t xml:space="preserve">等基础设施的维护、优化等服务。 </w:t>
            </w:r>
          </w:p>
          <w:p>
            <w:pPr>
              <w:widowControl w:val="0"/>
              <w:numPr>
                <w:ilvl w:val="0"/>
                <w:numId w:val="18"/>
              </w:numPr>
              <w:tabs>
                <w:tab w:val="left" w:pos="341"/>
              </w:tabs>
              <w:spacing w:line="242" w:lineRule="auto"/>
              <w:ind w:right="92" w:firstLine="0"/>
              <w:jc w:val="both"/>
              <w:rPr>
                <w:rFonts w:ascii="Calibri" w:hAnsi="Calibri" w:eastAsia="Calibri" w:cs="宋体"/>
                <w:sz w:val="22"/>
                <w:highlight w:val="none"/>
                <w:lang w:val="zh-CN" w:eastAsia="zh-CN" w:bidi="ar-SA"/>
              </w:rPr>
            </w:pPr>
            <w:r>
              <w:rPr>
                <w:rFonts w:ascii="Calibri" w:hAnsi="Calibri" w:eastAsia="Calibri" w:cs="宋体"/>
                <w:spacing w:val="-5"/>
                <w:sz w:val="22"/>
                <w:highlight w:val="none"/>
                <w:lang w:val="zh-CN" w:eastAsia="zh-CN" w:bidi="ar-SA"/>
              </w:rPr>
              <w:t>供应商每月至少提供一次对应用系统、服务器的全面巡检，</w:t>
            </w:r>
            <w:r>
              <w:rPr>
                <w:rFonts w:ascii="Calibri" w:hAnsi="Calibri" w:eastAsia="Calibri" w:cs="宋体"/>
                <w:spacing w:val="-6"/>
                <w:sz w:val="22"/>
                <w:highlight w:val="none"/>
                <w:lang w:val="zh-CN" w:eastAsia="zh-CN" w:bidi="ar-SA"/>
              </w:rPr>
              <w:t>并对巡检过程中发现的问题进行及时修复。遇到紧急事件，按</w:t>
            </w:r>
            <w:r>
              <w:rPr>
                <w:rFonts w:ascii="Calibri" w:hAnsi="Calibri" w:eastAsia="Calibri" w:cs="宋体"/>
                <w:spacing w:val="-3"/>
                <w:sz w:val="22"/>
                <w:highlight w:val="none"/>
                <w:lang w:val="zh-CN" w:eastAsia="zh-CN" w:bidi="ar-SA"/>
              </w:rPr>
              <w:t xml:space="preserve">照甲方要求增加巡检频率。内容包括但不限于： </w:t>
            </w:r>
          </w:p>
          <w:p>
            <w:pPr>
              <w:widowControl w:val="0"/>
              <w:numPr>
                <w:ilvl w:val="0"/>
                <w:numId w:val="19"/>
              </w:numPr>
              <w:tabs>
                <w:tab w:val="left" w:pos="661"/>
              </w:tabs>
              <w:ind w:hanging="554"/>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 xml:space="preserve">服务器状态检查； </w:t>
            </w:r>
          </w:p>
          <w:p>
            <w:pPr>
              <w:widowControl w:val="0"/>
              <w:numPr>
                <w:ilvl w:val="0"/>
                <w:numId w:val="19"/>
              </w:numPr>
              <w:tabs>
                <w:tab w:val="left" w:pos="661"/>
              </w:tabs>
              <w:spacing w:before="4"/>
              <w:ind w:hanging="554"/>
              <w:jc w:val="both"/>
              <w:rPr>
                <w:rFonts w:ascii="Calibri" w:hAnsi="Calibri" w:eastAsia="Calibri" w:cs="宋体"/>
                <w:sz w:val="22"/>
                <w:highlight w:val="none"/>
                <w:lang w:val="zh-CN" w:eastAsia="zh-CN" w:bidi="ar-SA"/>
              </w:rPr>
            </w:pPr>
            <w:r>
              <w:rPr>
                <w:rFonts w:ascii="Calibri" w:hAnsi="Calibri" w:eastAsia="Calibri" w:cs="宋体"/>
                <w:spacing w:val="-7"/>
                <w:sz w:val="22"/>
                <w:highlight w:val="none"/>
                <w:lang w:val="zh-CN" w:eastAsia="zh-CN" w:bidi="ar-SA"/>
              </w:rPr>
              <w:t xml:space="preserve">服务器性能监控，监控参数包括 </w:t>
            </w:r>
            <w:r>
              <w:rPr>
                <w:rFonts w:ascii="Calibri" w:hAnsi="Calibri" w:eastAsia="Calibri" w:cs="宋体"/>
                <w:sz w:val="22"/>
                <w:highlight w:val="none"/>
                <w:lang w:val="zh-CN" w:eastAsia="zh-CN" w:bidi="ar-SA"/>
              </w:rPr>
              <w:t>CPU</w:t>
            </w:r>
            <w:r>
              <w:rPr>
                <w:rFonts w:ascii="Calibri" w:hAnsi="Calibri" w:eastAsia="Calibri" w:cs="宋体"/>
                <w:spacing w:val="-3"/>
                <w:sz w:val="22"/>
                <w:highlight w:val="none"/>
                <w:lang w:val="zh-CN" w:eastAsia="zh-CN" w:bidi="ar-SA"/>
              </w:rPr>
              <w:t xml:space="preserve">、内存、网络等； </w:t>
            </w:r>
          </w:p>
          <w:p>
            <w:pPr>
              <w:widowControl w:val="0"/>
              <w:numPr>
                <w:ilvl w:val="0"/>
                <w:numId w:val="19"/>
              </w:numPr>
              <w:tabs>
                <w:tab w:val="left" w:pos="661"/>
              </w:tabs>
              <w:spacing w:before="3"/>
              <w:ind w:hanging="554"/>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 xml:space="preserve">服务器磁盘空间检查； </w:t>
            </w:r>
          </w:p>
          <w:p>
            <w:pPr>
              <w:widowControl w:val="0"/>
              <w:numPr>
                <w:ilvl w:val="0"/>
                <w:numId w:val="19"/>
              </w:numPr>
              <w:tabs>
                <w:tab w:val="left" w:pos="661"/>
              </w:tabs>
              <w:spacing w:before="2"/>
              <w:ind w:hanging="554"/>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 xml:space="preserve">系统病毒检查与漏洞修补； </w:t>
            </w:r>
          </w:p>
          <w:p>
            <w:pPr>
              <w:widowControl w:val="0"/>
              <w:numPr>
                <w:ilvl w:val="0"/>
                <w:numId w:val="19"/>
              </w:numPr>
              <w:tabs>
                <w:tab w:val="left" w:pos="661"/>
              </w:tabs>
              <w:spacing w:line="279" w:lineRule="exact"/>
              <w:ind w:hanging="554"/>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业务数据维护；</w:t>
            </w:r>
          </w:p>
          <w:p>
            <w:pPr>
              <w:widowControl w:val="0"/>
              <w:numPr>
                <w:ilvl w:val="0"/>
                <w:numId w:val="19"/>
              </w:numPr>
              <w:tabs>
                <w:tab w:val="left" w:pos="661"/>
              </w:tabs>
              <w:spacing w:before="3" w:line="244" w:lineRule="auto"/>
              <w:ind w:left="107" w:right="91" w:firstLine="0"/>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系统用户登录检查</w:t>
            </w:r>
            <w:r>
              <w:rPr>
                <w:rFonts w:hint="eastAsia" w:ascii="Calibri" w:hAnsi="Calibri" w:eastAsia="Calibri" w:cs="宋体"/>
                <w:spacing w:val="-3"/>
                <w:sz w:val="22"/>
                <w:highlight w:val="none"/>
                <w:lang w:val="en-US" w:eastAsia="zh-CN" w:bidi="ar-SA"/>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172" w:type="dxa"/>
          </w:tcPr>
          <w:p>
            <w:pPr>
              <w:widowControl w:val="0"/>
              <w:ind w:left="399" w:right="279"/>
              <w:jc w:val="center"/>
              <w:rPr>
                <w:rFonts w:hint="eastAsia" w:ascii="Calibri" w:hAnsi="Calibri" w:cs="宋体" w:eastAsiaTheme="minorEastAsia"/>
                <w:sz w:val="22"/>
                <w:highlight w:val="none"/>
                <w:lang w:val="en-US" w:eastAsia="zh-CN" w:bidi="ar-SA"/>
              </w:rPr>
            </w:pPr>
            <w:r>
              <w:rPr>
                <w:rFonts w:hint="eastAsia" w:ascii="Calibri" w:hAnsi="Calibri" w:cs="宋体" w:eastAsiaTheme="minorEastAsia"/>
                <w:sz w:val="22"/>
                <w:highlight w:val="none"/>
                <w:lang w:val="en-US" w:eastAsia="zh-CN" w:bidi="ar-SA"/>
              </w:rPr>
              <w:t>2</w:t>
            </w:r>
          </w:p>
        </w:tc>
        <w:tc>
          <w:tcPr>
            <w:tcW w:w="1760" w:type="dxa"/>
          </w:tcPr>
          <w:p>
            <w:pPr>
              <w:widowControl w:val="0"/>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numPr>
                <w:ilvl w:val="0"/>
                <w:numId w:val="0"/>
              </w:numPr>
              <w:tabs>
                <w:tab w:val="left" w:pos="771"/>
              </w:tabs>
              <w:spacing w:before="4"/>
              <w:ind w:left="106" w:leftChars="0"/>
              <w:jc w:val="both"/>
              <w:rPr>
                <w:rFonts w:ascii="Calibri" w:hAnsi="Calibri" w:eastAsia="Calibri" w:cs="宋体"/>
                <w:spacing w:val="-3"/>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pPr>
              <w:widowControl w:val="0"/>
              <w:spacing w:line="289"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eastAsia="Calibri" w:cs="宋体"/>
                <w:sz w:val="22"/>
                <w:highlight w:val="none"/>
                <w:lang w:val="en-US" w:eastAsia="zh-CN" w:bidi="ar-SA"/>
              </w:rPr>
              <w:t>2</w:t>
            </w:r>
            <w:r>
              <w:rPr>
                <w:rFonts w:ascii="Calibri" w:hAnsi="Calibri" w:eastAsia="Calibri" w:cs="宋体"/>
                <w:sz w:val="22"/>
                <w:highlight w:val="none"/>
                <w:lang w:val="zh-CN" w:eastAsia="zh-CN" w:bidi="ar-SA"/>
              </w:rPr>
              <w:t>：</w:t>
            </w:r>
            <w:r>
              <w:rPr>
                <w:rFonts w:ascii="Calibri" w:hAnsi="Calibri" w:eastAsia="Calibri" w:cs="宋体"/>
                <w:sz w:val="24"/>
                <w:highlight w:val="none"/>
                <w:lang w:val="zh-CN" w:eastAsia="zh-CN" w:bidi="ar-SA"/>
              </w:rPr>
              <w:t>应急响应</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172" w:type="dxa"/>
            <w:vMerge w:val="restart"/>
          </w:tcPr>
          <w:p>
            <w:pPr>
              <w:widowControl w:val="0"/>
              <w:spacing w:before="3"/>
              <w:ind w:left="399" w:right="279"/>
              <w:jc w:val="center"/>
              <w:rPr>
                <w:rFonts w:ascii="Calibri" w:hAnsi="Calibri" w:eastAsia="Calibri" w:cs="宋体"/>
                <w:highlight w:val="none"/>
                <w:lang w:val="zh-CN" w:eastAsia="zh-CN" w:bidi="ar-SA"/>
              </w:rPr>
            </w:pPr>
            <w:r>
              <w:rPr>
                <w:rFonts w:ascii="Calibri" w:hAnsi="Calibri" w:eastAsia="Calibri" w:cs="宋体"/>
                <w:highlight w:val="none"/>
                <w:lang w:val="zh-CN" w:eastAsia="zh-CN" w:bidi="ar-SA"/>
              </w:rPr>
              <w:t xml:space="preserve">1 </w:t>
            </w: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bidi w:val="0"/>
              <w:rPr>
                <w:rFonts w:cs="宋体"/>
                <w:highlight w:val="none"/>
              </w:rPr>
            </w:pPr>
          </w:p>
          <w:p>
            <w:pPr>
              <w:rPr>
                <w:rFonts w:cs="宋体"/>
                <w:highlight w:val="none"/>
              </w:rPr>
            </w:pPr>
          </w:p>
        </w:tc>
        <w:tc>
          <w:tcPr>
            <w:tcW w:w="1760" w:type="dxa"/>
            <w:vMerge w:val="restart"/>
          </w:tcPr>
          <w:p>
            <w:pPr>
              <w:widowControl w:val="0"/>
              <w:spacing w:before="3"/>
              <w:ind w:left="220"/>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numPr>
                <w:ilvl w:val="0"/>
                <w:numId w:val="20"/>
              </w:numPr>
              <w:tabs>
                <w:tab w:val="left" w:pos="329"/>
              </w:tabs>
              <w:spacing w:line="242" w:lineRule="auto"/>
              <w:ind w:left="0" w:leftChars="0" w:right="90" w:firstLine="0" w:firstLineChars="0"/>
              <w:jc w:val="both"/>
              <w:rPr>
                <w:rFonts w:ascii="Calibri" w:hAnsi="Calibri" w:eastAsia="Calibri" w:cs="宋体"/>
                <w:sz w:val="22"/>
                <w:highlight w:val="none"/>
                <w:lang w:val="zh-CN" w:eastAsia="zh-CN" w:bidi="ar-SA"/>
              </w:rPr>
            </w:pPr>
            <w:r>
              <w:rPr>
                <w:rFonts w:ascii="Calibri" w:hAnsi="Calibri" w:eastAsia="Calibri" w:cs="宋体"/>
                <w:spacing w:val="-9"/>
                <w:sz w:val="22"/>
                <w:highlight w:val="none"/>
                <w:lang w:val="zh-CN" w:eastAsia="zh-CN" w:bidi="ar-SA"/>
              </w:rPr>
              <w:t xml:space="preserve">供应商提供 </w:t>
            </w:r>
            <w:r>
              <w:rPr>
                <w:rFonts w:ascii="Calibri" w:hAnsi="Calibri" w:eastAsia="Calibri" w:cs="宋体"/>
                <w:sz w:val="22"/>
                <w:highlight w:val="none"/>
                <w:lang w:val="zh-CN" w:eastAsia="zh-CN" w:bidi="ar-SA"/>
              </w:rPr>
              <w:t>7*24</w:t>
            </w:r>
            <w:r>
              <w:rPr>
                <w:rFonts w:ascii="Calibri" w:hAnsi="Calibri" w:eastAsia="Calibri" w:cs="宋体"/>
                <w:spacing w:val="-15"/>
                <w:sz w:val="22"/>
                <w:highlight w:val="none"/>
                <w:lang w:val="zh-CN" w:eastAsia="zh-CN" w:bidi="ar-SA"/>
              </w:rPr>
              <w:t xml:space="preserve"> 小时电话支持，用于接听技术咨询、故障汇报等沟通</w:t>
            </w:r>
            <w:r>
              <w:rPr>
                <w:rFonts w:ascii="Calibri" w:hAnsi="Calibri" w:eastAsia="Calibri" w:cs="宋体"/>
                <w:spacing w:val="-1"/>
                <w:sz w:val="22"/>
                <w:highlight w:val="none"/>
                <w:lang w:val="zh-CN" w:eastAsia="zh-CN" w:bidi="ar-SA"/>
              </w:rPr>
              <w:t>交流；</w:t>
            </w:r>
            <w:r>
              <w:rPr>
                <w:rFonts w:ascii="Calibri" w:hAnsi="Calibri" w:eastAsia="Calibri" w:cs="宋体"/>
                <w:sz w:val="22"/>
                <w:highlight w:val="none"/>
                <w:lang w:val="zh-CN" w:eastAsia="zh-CN" w:bidi="ar-SA"/>
              </w:rPr>
              <w:t xml:space="preserve"> </w:t>
            </w:r>
          </w:p>
          <w:p>
            <w:pPr>
              <w:widowControl w:val="0"/>
              <w:numPr>
                <w:ilvl w:val="0"/>
                <w:numId w:val="20"/>
              </w:numPr>
              <w:tabs>
                <w:tab w:val="left" w:pos="329"/>
              </w:tabs>
              <w:spacing w:before="2" w:line="262" w:lineRule="exact"/>
              <w:ind w:left="222" w:leftChars="0" w:firstLineChars="0"/>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 xml:space="preserve">根据故障级别，在相应的响应时间内进行故障处理与修复。 </w:t>
            </w:r>
          </w:p>
          <w:p>
            <w:pPr>
              <w:spacing w:line="360" w:lineRule="auto"/>
              <w:ind w:firstLine="480"/>
              <w:rPr>
                <w:rFonts w:cs="宋体"/>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vMerge w:val="continue"/>
            <w:tcBorders>
              <w:top w:val="nil"/>
            </w:tcBorders>
          </w:tcPr>
          <w:p>
            <w:pPr>
              <w:rPr>
                <w:rFonts w:cs="宋体"/>
                <w:sz w:val="2"/>
                <w:szCs w:val="2"/>
                <w:highlight w:val="none"/>
              </w:rPr>
            </w:pPr>
          </w:p>
        </w:tc>
        <w:tc>
          <w:tcPr>
            <w:tcW w:w="1760" w:type="dxa"/>
            <w:vMerge w:val="continue"/>
            <w:tcBorders>
              <w:top w:val="nil"/>
            </w:tcBorders>
          </w:tcPr>
          <w:p>
            <w:pPr>
              <w:rPr>
                <w:rFonts w:cs="宋体"/>
                <w:sz w:val="2"/>
                <w:szCs w:val="2"/>
                <w:highlight w:val="none"/>
              </w:rPr>
            </w:pPr>
          </w:p>
        </w:tc>
        <w:tc>
          <w:tcPr>
            <w:tcW w:w="3317" w:type="dxa"/>
          </w:tcPr>
          <w:p>
            <w:pPr>
              <w:widowControl w:val="0"/>
              <w:spacing w:before="3" w:line="262" w:lineRule="exact"/>
              <w:ind w:left="1218" w:right="1169"/>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事件级别 </w:t>
            </w:r>
          </w:p>
        </w:tc>
        <w:tc>
          <w:tcPr>
            <w:tcW w:w="2084" w:type="dxa"/>
          </w:tcPr>
          <w:p>
            <w:pPr>
              <w:widowControl w:val="0"/>
              <w:spacing w:before="3" w:line="262" w:lineRule="exact"/>
              <w:ind w:left="599"/>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响应时间 </w:t>
            </w:r>
          </w:p>
        </w:tc>
        <w:tc>
          <w:tcPr>
            <w:tcW w:w="1633" w:type="dxa"/>
            <w:tcBorders>
              <w:right w:val="single" w:color="000000" w:sz="6" w:space="0"/>
            </w:tcBorders>
          </w:tcPr>
          <w:p>
            <w:pPr>
              <w:widowControl w:val="0"/>
              <w:spacing w:before="3" w:line="262" w:lineRule="exact"/>
              <w:ind w:left="188"/>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故障解决时间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72" w:type="dxa"/>
            <w:vMerge w:val="continue"/>
            <w:tcBorders>
              <w:top w:val="nil"/>
            </w:tcBorders>
          </w:tcPr>
          <w:p>
            <w:pPr>
              <w:rPr>
                <w:rFonts w:cs="宋体"/>
                <w:sz w:val="2"/>
                <w:szCs w:val="2"/>
                <w:highlight w:val="none"/>
              </w:rPr>
            </w:pPr>
          </w:p>
        </w:tc>
        <w:tc>
          <w:tcPr>
            <w:tcW w:w="1760" w:type="dxa"/>
            <w:vMerge w:val="continue"/>
            <w:tcBorders>
              <w:top w:val="nil"/>
            </w:tcBorders>
          </w:tcPr>
          <w:p>
            <w:pPr>
              <w:rPr>
                <w:rFonts w:cs="宋体"/>
                <w:sz w:val="2"/>
                <w:szCs w:val="2"/>
                <w:highlight w:val="none"/>
              </w:rPr>
            </w:pPr>
          </w:p>
        </w:tc>
        <w:tc>
          <w:tcPr>
            <w:tcW w:w="3317" w:type="dxa"/>
          </w:tcPr>
          <w:p>
            <w:pPr>
              <w:widowControl w:val="0"/>
              <w:spacing w:before="3" w:line="280" w:lineRule="atLeast"/>
              <w:ind w:left="40" w:right="94"/>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Ⅰ级（紧急）：系统停机或对用户的全部业务运作有重大影响。</w:t>
            </w:r>
          </w:p>
        </w:tc>
        <w:tc>
          <w:tcPr>
            <w:tcW w:w="2084" w:type="dxa"/>
          </w:tcPr>
          <w:p>
            <w:pPr>
              <w:widowControl w:val="0"/>
              <w:spacing w:before="147" w:line="242" w:lineRule="auto"/>
              <w:ind w:right="95"/>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5分钟内响应，1小时内提供方案</w:t>
            </w:r>
          </w:p>
        </w:tc>
        <w:tc>
          <w:tcPr>
            <w:tcW w:w="1633" w:type="dxa"/>
            <w:tcBorders>
              <w:right w:val="single" w:color="000000" w:sz="6" w:space="0"/>
            </w:tcBorders>
          </w:tcPr>
          <w:p>
            <w:pPr>
              <w:widowControl w:val="0"/>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2 小时以内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72" w:type="dxa"/>
            <w:vMerge w:val="continue"/>
            <w:tcBorders>
              <w:top w:val="nil"/>
            </w:tcBorders>
          </w:tcPr>
          <w:p>
            <w:pPr>
              <w:rPr>
                <w:rFonts w:cs="宋体"/>
                <w:sz w:val="2"/>
                <w:szCs w:val="2"/>
                <w:highlight w:val="none"/>
              </w:rPr>
            </w:pPr>
          </w:p>
        </w:tc>
        <w:tc>
          <w:tcPr>
            <w:tcW w:w="1760" w:type="dxa"/>
            <w:vMerge w:val="continue"/>
            <w:tcBorders>
              <w:top w:val="nil"/>
            </w:tcBorders>
          </w:tcPr>
          <w:p>
            <w:pPr>
              <w:rPr>
                <w:rFonts w:cs="宋体"/>
                <w:sz w:val="2"/>
                <w:szCs w:val="2"/>
                <w:highlight w:val="none"/>
              </w:rPr>
            </w:pPr>
          </w:p>
        </w:tc>
        <w:tc>
          <w:tcPr>
            <w:tcW w:w="3317" w:type="dxa"/>
          </w:tcPr>
          <w:p>
            <w:pPr>
              <w:widowControl w:val="0"/>
              <w:spacing w:line="262" w:lineRule="exact"/>
              <w:ind w:left="40"/>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Ⅱ级（重要）：系统的操作性能严重降级或对用户的重要业务运作有不良影响。</w:t>
            </w:r>
          </w:p>
        </w:tc>
        <w:tc>
          <w:tcPr>
            <w:tcW w:w="2084" w:type="dxa"/>
          </w:tcPr>
          <w:p>
            <w:pPr>
              <w:widowControl w:val="0"/>
              <w:spacing w:line="242" w:lineRule="auto"/>
              <w:ind w:right="95"/>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5分钟内响应，1小时内提供方案</w:t>
            </w:r>
          </w:p>
        </w:tc>
        <w:tc>
          <w:tcPr>
            <w:tcW w:w="1633" w:type="dxa"/>
            <w:tcBorders>
              <w:right w:val="single" w:color="000000" w:sz="6" w:space="0"/>
            </w:tcBorders>
          </w:tcPr>
          <w:p>
            <w:pPr>
              <w:widowControl w:val="0"/>
              <w:spacing w:before="17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2 小时以内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72" w:type="dxa"/>
            <w:vMerge w:val="continue"/>
            <w:tcBorders>
              <w:top w:val="nil"/>
            </w:tcBorders>
          </w:tcPr>
          <w:p>
            <w:pPr>
              <w:rPr>
                <w:rFonts w:cs="宋体"/>
                <w:sz w:val="2"/>
                <w:szCs w:val="2"/>
                <w:highlight w:val="none"/>
              </w:rPr>
            </w:pPr>
          </w:p>
        </w:tc>
        <w:tc>
          <w:tcPr>
            <w:tcW w:w="1760" w:type="dxa"/>
            <w:vMerge w:val="continue"/>
            <w:tcBorders>
              <w:top w:val="nil"/>
            </w:tcBorders>
          </w:tcPr>
          <w:p>
            <w:pPr>
              <w:rPr>
                <w:rFonts w:cs="宋体"/>
                <w:sz w:val="2"/>
                <w:szCs w:val="2"/>
                <w:highlight w:val="none"/>
              </w:rPr>
            </w:pPr>
          </w:p>
        </w:tc>
        <w:tc>
          <w:tcPr>
            <w:tcW w:w="3317" w:type="dxa"/>
          </w:tcPr>
          <w:p>
            <w:pPr>
              <w:widowControl w:val="0"/>
              <w:spacing w:line="280" w:lineRule="atLeast"/>
              <w:ind w:left="40" w:right="96"/>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Ⅲ级（关键）：系统的操作性能受损，但用户的大部分业务运作仍可正常工作。</w:t>
            </w:r>
            <w:r>
              <w:rPr>
                <w:rFonts w:ascii="Calibri" w:hAnsi="Calibri" w:eastAsia="Calibri" w:cs="宋体"/>
                <w:sz w:val="22"/>
                <w:highlight w:val="none"/>
                <w:lang w:val="zh-CN" w:eastAsia="zh-CN" w:bidi="ar-SA"/>
              </w:rPr>
              <w:t xml:space="preserve"> </w:t>
            </w:r>
          </w:p>
        </w:tc>
        <w:tc>
          <w:tcPr>
            <w:tcW w:w="2084" w:type="dxa"/>
          </w:tcPr>
          <w:p>
            <w:pPr>
              <w:widowControl w:val="0"/>
              <w:spacing w:line="242" w:lineRule="auto"/>
              <w:ind w:right="94"/>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10分钟内响应，2小时内提供方案</w:t>
            </w:r>
          </w:p>
        </w:tc>
        <w:tc>
          <w:tcPr>
            <w:tcW w:w="1633" w:type="dxa"/>
            <w:tcBorders>
              <w:right w:val="single" w:color="000000" w:sz="6" w:space="0"/>
            </w:tcBorders>
          </w:tcPr>
          <w:p>
            <w:pPr>
              <w:widowControl w:val="0"/>
              <w:spacing w:line="242" w:lineRule="auto"/>
              <w:ind w:right="22"/>
              <w:jc w:val="both"/>
              <w:rPr>
                <w:rFonts w:ascii="Calibri" w:hAnsi="Calibri" w:eastAsia="Calibri" w:cs="宋体"/>
                <w:sz w:val="22"/>
                <w:highlight w:val="none"/>
                <w:lang w:val="zh-CN" w:eastAsia="zh-CN" w:bidi="ar-SA"/>
              </w:rPr>
            </w:pPr>
            <w:r>
              <w:rPr>
                <w:rFonts w:hint="eastAsia" w:cs="宋体"/>
                <w:sz w:val="22"/>
                <w:highlight w:val="none"/>
                <w:lang w:val="en-US" w:eastAsia="zh-CN" w:bidi="ar-SA"/>
              </w:rPr>
              <w:t xml:space="preserve">4 </w:t>
            </w:r>
            <w:r>
              <w:rPr>
                <w:rFonts w:ascii="Calibri" w:hAnsi="Calibri" w:eastAsia="Calibri" w:cs="宋体"/>
                <w:sz w:val="22"/>
                <w:highlight w:val="none"/>
                <w:lang w:val="zh-CN" w:eastAsia="zh-CN" w:bidi="ar-SA"/>
              </w:rPr>
              <w:t>小时以内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72" w:type="dxa"/>
            <w:vMerge w:val="continue"/>
            <w:tcBorders>
              <w:top w:val="nil"/>
            </w:tcBorders>
          </w:tcPr>
          <w:p>
            <w:pPr>
              <w:rPr>
                <w:rFonts w:cs="宋体"/>
                <w:sz w:val="2"/>
                <w:szCs w:val="2"/>
                <w:highlight w:val="none"/>
              </w:rPr>
            </w:pPr>
          </w:p>
        </w:tc>
        <w:tc>
          <w:tcPr>
            <w:tcW w:w="1760" w:type="dxa"/>
            <w:vMerge w:val="continue"/>
            <w:tcBorders>
              <w:top w:val="nil"/>
            </w:tcBorders>
          </w:tcPr>
          <w:p>
            <w:pPr>
              <w:rPr>
                <w:rFonts w:cs="宋体"/>
                <w:sz w:val="2"/>
                <w:szCs w:val="2"/>
                <w:highlight w:val="none"/>
              </w:rPr>
            </w:pPr>
          </w:p>
        </w:tc>
        <w:tc>
          <w:tcPr>
            <w:tcW w:w="3317" w:type="dxa"/>
            <w:tcBorders>
              <w:bottom w:val="single" w:color="000000" w:sz="8" w:space="0"/>
            </w:tcBorders>
          </w:tcPr>
          <w:p>
            <w:pPr>
              <w:widowControl w:val="0"/>
              <w:spacing w:line="262" w:lineRule="exact"/>
              <w:ind w:left="40"/>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Ⅳ级（告警）：对业务方面的咨询需求，对用户的业务运作无影响。</w:t>
            </w:r>
            <w:r>
              <w:rPr>
                <w:rFonts w:ascii="Calibri" w:hAnsi="Calibri" w:eastAsia="Calibri" w:cs="宋体"/>
                <w:sz w:val="22"/>
                <w:highlight w:val="none"/>
                <w:lang w:val="zh-CN" w:eastAsia="zh-CN" w:bidi="ar-SA"/>
              </w:rPr>
              <w:t xml:space="preserve"> </w:t>
            </w:r>
          </w:p>
        </w:tc>
        <w:tc>
          <w:tcPr>
            <w:tcW w:w="2084" w:type="dxa"/>
            <w:tcBorders>
              <w:bottom w:val="single" w:color="000000" w:sz="8" w:space="0"/>
            </w:tcBorders>
          </w:tcPr>
          <w:p>
            <w:pPr>
              <w:widowControl w:val="0"/>
              <w:spacing w:line="242" w:lineRule="auto"/>
              <w:ind w:right="94"/>
              <w:jc w:val="both"/>
              <w:rPr>
                <w:rFonts w:ascii="Calibri" w:hAnsi="Calibri" w:eastAsia="Calibri" w:cs="宋体"/>
                <w:sz w:val="22"/>
                <w:highlight w:val="none"/>
                <w:lang w:val="zh-CN" w:eastAsia="zh-CN" w:bidi="ar-SA"/>
              </w:rPr>
            </w:pPr>
            <w:r>
              <w:rPr>
                <w:rFonts w:hint="eastAsia" w:ascii="Calibri" w:hAnsi="Calibri" w:eastAsia="Calibri" w:cs="宋体"/>
                <w:sz w:val="22"/>
                <w:highlight w:val="none"/>
                <w:lang w:val="zh-CN" w:eastAsia="zh-CN" w:bidi="ar-SA"/>
              </w:rPr>
              <w:t>10分钟内响应，2小时内提供方案</w:t>
            </w:r>
          </w:p>
        </w:tc>
        <w:tc>
          <w:tcPr>
            <w:tcW w:w="1633" w:type="dxa"/>
            <w:tcBorders>
              <w:bottom w:val="single" w:color="000000" w:sz="8" w:space="0"/>
              <w:right w:val="single" w:color="000000" w:sz="6" w:space="0"/>
            </w:tcBorders>
          </w:tcPr>
          <w:p>
            <w:pPr>
              <w:widowControl w:val="0"/>
              <w:spacing w:line="242" w:lineRule="auto"/>
              <w:ind w:right="-29"/>
              <w:jc w:val="both"/>
              <w:rPr>
                <w:rFonts w:ascii="Calibri" w:hAnsi="Calibri" w:eastAsia="Calibri" w:cs="宋体"/>
                <w:sz w:val="22"/>
                <w:highlight w:val="none"/>
                <w:lang w:val="zh-CN" w:eastAsia="zh-CN" w:bidi="ar-SA"/>
              </w:rPr>
            </w:pPr>
            <w:r>
              <w:rPr>
                <w:rFonts w:hint="eastAsia" w:cs="宋体"/>
                <w:sz w:val="22"/>
                <w:highlight w:val="none"/>
                <w:lang w:val="en-US" w:eastAsia="zh-CN" w:bidi="ar-SA"/>
              </w:rPr>
              <w:t>4</w:t>
            </w:r>
            <w:r>
              <w:rPr>
                <w:rFonts w:ascii="Calibri" w:hAnsi="Calibri" w:eastAsia="Calibri" w:cs="宋体"/>
                <w:sz w:val="22"/>
                <w:highlight w:val="none"/>
                <w:lang w:val="zh-CN" w:eastAsia="zh-CN" w:bidi="ar-SA"/>
              </w:rPr>
              <w:t xml:space="preserve"> 小时以内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72" w:type="dxa"/>
            <w:tcBorders>
              <w:top w:val="nil"/>
            </w:tcBorders>
            <w:vAlign w:val="top"/>
          </w:tcPr>
          <w:p>
            <w:pPr>
              <w:ind w:firstLine="600" w:firstLineChars="300"/>
              <w:jc w:val="left"/>
              <w:rPr>
                <w:rFonts w:hint="eastAsia" w:ascii="Calibri" w:hAnsi="Calibri" w:eastAsia="Calibri" w:cs="宋体"/>
                <w:highlight w:val="none"/>
                <w:lang w:val="en-US" w:eastAsia="zh-CN" w:bidi="ar-SA"/>
              </w:rPr>
            </w:pPr>
            <w:r>
              <w:rPr>
                <w:rFonts w:hint="eastAsia" w:cs="宋体"/>
                <w:highlight w:val="none"/>
                <w:lang w:val="en-US" w:eastAsia="zh-CN"/>
              </w:rPr>
              <w:t>2</w:t>
            </w:r>
          </w:p>
        </w:tc>
        <w:tc>
          <w:tcPr>
            <w:tcW w:w="1760" w:type="dxa"/>
            <w:tcBorders>
              <w:top w:val="nil"/>
            </w:tcBorders>
          </w:tcPr>
          <w:p>
            <w:pPr>
              <w:bidi w:val="0"/>
              <w:jc w:val="both"/>
              <w:rPr>
                <w:rFonts w:ascii="Calibri" w:hAnsi="Calibri" w:eastAsia="Calibri" w:cs="宋体"/>
                <w:highlight w:val="none"/>
                <w:lang w:val="zh-CN" w:eastAsia="zh-CN" w:bidi="ar-SA"/>
              </w:rPr>
            </w:pPr>
            <w:r>
              <w:rPr>
                <w:rFonts w:hint="eastAsia" w:ascii="宋体" w:hAnsi="宋体" w:eastAsia="宋体" w:cs="宋体"/>
                <w:sz w:val="22"/>
                <w:szCs w:val="22"/>
                <w:highlight w:val="none"/>
                <w:lang w:val="en-US" w:eastAsia="en-US"/>
              </w:rPr>
              <w:t>非实质性条款</w:t>
            </w:r>
          </w:p>
        </w:tc>
        <w:tc>
          <w:tcPr>
            <w:tcW w:w="3317" w:type="dxa"/>
            <w:tcBorders>
              <w:bottom w:val="single" w:color="000000" w:sz="8" w:space="0"/>
            </w:tcBorders>
          </w:tcPr>
          <w:p>
            <w:pPr>
              <w:widowControl w:val="0"/>
              <w:spacing w:line="262" w:lineRule="exact"/>
              <w:ind w:left="40"/>
              <w:jc w:val="both"/>
              <w:rPr>
                <w:rFonts w:ascii="Calibri" w:hAnsi="Calibri" w:eastAsia="Calibri" w:cs="宋体"/>
                <w:sz w:val="22"/>
                <w:highlight w:val="none"/>
                <w:lang w:val="zh-CN" w:eastAsia="zh-CN" w:bidi="ar-SA"/>
              </w:rPr>
            </w:pPr>
          </w:p>
        </w:tc>
        <w:tc>
          <w:tcPr>
            <w:tcW w:w="2084" w:type="dxa"/>
            <w:tcBorders>
              <w:bottom w:val="single" w:color="000000" w:sz="8" w:space="0"/>
            </w:tcBorders>
          </w:tcPr>
          <w:p>
            <w:pPr>
              <w:widowControl w:val="0"/>
              <w:spacing w:line="242" w:lineRule="auto"/>
              <w:ind w:left="107" w:right="94"/>
              <w:jc w:val="both"/>
              <w:rPr>
                <w:rFonts w:ascii="Calibri" w:hAnsi="Calibri" w:eastAsia="Calibri" w:cs="宋体"/>
                <w:sz w:val="22"/>
                <w:highlight w:val="none"/>
                <w:lang w:val="zh-CN" w:eastAsia="zh-CN" w:bidi="ar-SA"/>
              </w:rPr>
            </w:pPr>
          </w:p>
        </w:tc>
        <w:tc>
          <w:tcPr>
            <w:tcW w:w="1633" w:type="dxa"/>
            <w:tcBorders>
              <w:bottom w:val="single" w:color="000000" w:sz="8" w:space="0"/>
              <w:right w:val="single" w:color="000000" w:sz="6" w:space="0"/>
            </w:tcBorders>
          </w:tcPr>
          <w:p>
            <w:pPr>
              <w:widowControl w:val="0"/>
              <w:spacing w:line="242" w:lineRule="auto"/>
              <w:ind w:left="107" w:right="-29"/>
              <w:jc w:val="both"/>
              <w:rPr>
                <w:rFonts w:ascii="Calibri" w:hAnsi="Calibri" w:eastAsia="Calibri" w:cs="宋体"/>
                <w:spacing w:val="-9"/>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966" w:type="dxa"/>
            <w:gridSpan w:val="5"/>
            <w:tcBorders>
              <w:right w:val="single" w:color="000000" w:sz="6" w:space="0"/>
            </w:tcBorders>
          </w:tcPr>
          <w:p>
            <w:pPr>
              <w:widowControl w:val="0"/>
              <w:spacing w:line="290"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eastAsia="Calibri" w:cs="宋体"/>
                <w:sz w:val="22"/>
                <w:highlight w:val="none"/>
                <w:lang w:val="en-US" w:eastAsia="zh-CN" w:bidi="ar-SA"/>
              </w:rPr>
              <w:t>3</w:t>
            </w:r>
            <w:r>
              <w:rPr>
                <w:rFonts w:ascii="Calibri" w:hAnsi="Calibri" w:eastAsia="Calibri" w:cs="宋体"/>
                <w:sz w:val="22"/>
                <w:highlight w:val="none"/>
                <w:lang w:val="zh-CN" w:eastAsia="zh-CN" w:bidi="ar-SA"/>
              </w:rPr>
              <w:t>：</w:t>
            </w:r>
            <w:r>
              <w:rPr>
                <w:rFonts w:hint="eastAsia" w:ascii="宋体" w:hAnsi="宋体" w:eastAsia="宋体" w:cs="宋体"/>
                <w:sz w:val="24"/>
                <w:highlight w:val="none"/>
                <w:lang w:val="zh-CN" w:eastAsia="zh-CN" w:bidi="ar-SA"/>
              </w:rPr>
              <w:t>技术支持</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172" w:type="dxa"/>
          </w:tcPr>
          <w:p>
            <w:pPr>
              <w:widowControl w:val="0"/>
              <w:spacing w:before="3"/>
              <w:ind w:right="408"/>
              <w:jc w:val="right"/>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1 </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spacing w:before="3"/>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供应商根据甲方需要安排技术人员支持保障，遇特殊事件及重大节</w:t>
            </w:r>
          </w:p>
          <w:p>
            <w:pPr>
              <w:widowControl w:val="0"/>
              <w:spacing w:before="3" w:line="262"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假日安排技术人员值班。</w:t>
            </w:r>
          </w:p>
          <w:p>
            <w:pPr>
              <w:widowControl w:val="0"/>
              <w:spacing w:before="3" w:line="262" w:lineRule="exact"/>
              <w:ind w:left="107"/>
              <w:jc w:val="both"/>
              <w:rPr>
                <w:rFonts w:ascii="Calibri" w:hAnsi="Calibri" w:eastAsia="Calibri" w:cs="宋体"/>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172" w:type="dxa"/>
          </w:tcPr>
          <w:p>
            <w:pPr>
              <w:widowControl w:val="0"/>
              <w:spacing w:before="3"/>
              <w:ind w:right="408"/>
              <w:jc w:val="right"/>
              <w:rPr>
                <w:rFonts w:hint="eastAsia" w:ascii="Calibri" w:hAnsi="Calibri" w:eastAsia="宋体" w:cs="宋体"/>
                <w:sz w:val="22"/>
                <w:highlight w:val="none"/>
                <w:lang w:val="en-US" w:eastAsia="zh-CN" w:bidi="ar-SA"/>
              </w:rPr>
            </w:pPr>
            <w:r>
              <w:rPr>
                <w:rFonts w:hint="eastAsia" w:ascii="Calibri" w:hAnsi="Calibri" w:eastAsia="宋体" w:cs="宋体"/>
                <w:sz w:val="22"/>
                <w:highlight w:val="none"/>
                <w:lang w:val="en-US" w:eastAsia="zh-CN" w:bidi="ar-SA"/>
              </w:rPr>
              <w:t>2</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spacing w:before="3" w:line="262" w:lineRule="exact"/>
              <w:ind w:left="107"/>
              <w:jc w:val="both"/>
              <w:rPr>
                <w:rFonts w:ascii="Calibri" w:hAnsi="Calibri" w:eastAsia="Calibri" w:cs="宋体"/>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pPr>
              <w:widowControl w:val="0"/>
              <w:spacing w:line="289"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cs="宋体" w:eastAsiaTheme="minorEastAsia"/>
                <w:sz w:val="22"/>
                <w:highlight w:val="none"/>
                <w:lang w:val="en-US" w:eastAsia="zh-CN" w:bidi="ar-SA"/>
              </w:rPr>
              <w:t>4</w:t>
            </w:r>
            <w:r>
              <w:rPr>
                <w:rFonts w:ascii="Calibri" w:hAnsi="Calibri" w:eastAsia="Calibri" w:cs="宋体"/>
                <w:sz w:val="22"/>
                <w:highlight w:val="none"/>
                <w:lang w:val="zh-CN" w:eastAsia="zh-CN" w:bidi="ar-SA"/>
              </w:rPr>
              <w:t>：</w:t>
            </w:r>
            <w:r>
              <w:rPr>
                <w:rFonts w:hint="eastAsia" w:ascii="宋体" w:hAnsi="宋体" w:eastAsia="宋体" w:cs="宋体"/>
                <w:sz w:val="24"/>
                <w:highlight w:val="none"/>
                <w:lang w:val="zh-CN" w:eastAsia="zh-CN" w:bidi="ar-SA"/>
              </w:rPr>
              <w:t>人员培训</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72" w:type="dxa"/>
          </w:tcPr>
          <w:p>
            <w:pPr>
              <w:widowControl w:val="0"/>
              <w:spacing w:before="3"/>
              <w:ind w:right="408"/>
              <w:jc w:val="right"/>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1 </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spacing w:before="3"/>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供应商提供全方位、高质量的培训服务。 </w:t>
            </w:r>
          </w:p>
          <w:p>
            <w:pPr>
              <w:widowControl w:val="0"/>
              <w:numPr>
                <w:ilvl w:val="0"/>
                <w:numId w:val="21"/>
              </w:numPr>
              <w:tabs>
                <w:tab w:val="left" w:pos="329"/>
              </w:tabs>
              <w:spacing w:before="3" w:line="242" w:lineRule="auto"/>
              <w:ind w:right="92" w:firstLine="0"/>
              <w:jc w:val="both"/>
              <w:rPr>
                <w:rFonts w:ascii="Calibri" w:hAnsi="Calibri" w:eastAsia="Calibri" w:cs="宋体"/>
                <w:sz w:val="22"/>
                <w:highlight w:val="none"/>
                <w:lang w:val="zh-CN" w:eastAsia="zh-CN" w:bidi="ar-SA"/>
              </w:rPr>
            </w:pPr>
            <w:r>
              <w:rPr>
                <w:rFonts w:ascii="Calibri" w:hAnsi="Calibri" w:eastAsia="Calibri" w:cs="宋体"/>
                <w:spacing w:val="-6"/>
                <w:sz w:val="22"/>
                <w:highlight w:val="none"/>
                <w:lang w:val="zh-CN" w:eastAsia="zh-CN" w:bidi="ar-SA"/>
              </w:rPr>
              <w:t>针对系统管理人员提供技术培训，包括但不限于系统建设、管理、维</w:t>
            </w:r>
            <w:r>
              <w:rPr>
                <w:rFonts w:ascii="Calibri" w:hAnsi="Calibri" w:eastAsia="Calibri" w:cs="宋体"/>
                <w:spacing w:val="-7"/>
                <w:sz w:val="22"/>
                <w:highlight w:val="none"/>
                <w:lang w:val="zh-CN" w:eastAsia="zh-CN" w:bidi="ar-SA"/>
              </w:rPr>
              <w:t>护等</w:t>
            </w:r>
            <w:r>
              <w:rPr>
                <w:rFonts w:ascii="Calibri" w:hAnsi="Calibri" w:eastAsia="Calibri" w:cs="宋体"/>
                <w:spacing w:val="-21"/>
                <w:sz w:val="22"/>
                <w:highlight w:val="none"/>
                <w:lang w:val="zh-CN" w:eastAsia="zh-CN" w:bidi="ar-SA"/>
              </w:rPr>
              <w:t>；</w:t>
            </w:r>
            <w:r>
              <w:rPr>
                <w:rFonts w:ascii="Calibri" w:hAnsi="Calibri" w:eastAsia="Calibri" w:cs="宋体"/>
                <w:sz w:val="22"/>
                <w:highlight w:val="none"/>
                <w:lang w:val="zh-CN" w:eastAsia="zh-CN" w:bidi="ar-SA"/>
              </w:rPr>
              <w:t xml:space="preserve"> </w:t>
            </w:r>
          </w:p>
          <w:p>
            <w:pPr>
              <w:widowControl w:val="0"/>
              <w:numPr>
                <w:ilvl w:val="0"/>
                <w:numId w:val="21"/>
              </w:numPr>
              <w:tabs>
                <w:tab w:val="left" w:pos="329"/>
              </w:tabs>
              <w:spacing w:before="2" w:line="280" w:lineRule="atLeast"/>
              <w:ind w:right="92" w:firstLine="0"/>
              <w:jc w:val="both"/>
              <w:rPr>
                <w:rFonts w:ascii="Calibri" w:hAnsi="Calibri" w:eastAsia="Calibri" w:cs="宋体"/>
                <w:sz w:val="22"/>
                <w:highlight w:val="none"/>
                <w:lang w:val="zh-CN" w:eastAsia="zh-CN" w:bidi="ar-SA"/>
              </w:rPr>
            </w:pPr>
            <w:r>
              <w:rPr>
                <w:rFonts w:ascii="Calibri" w:hAnsi="Calibri" w:eastAsia="Calibri" w:cs="宋体"/>
                <w:spacing w:val="-5"/>
                <w:sz w:val="22"/>
                <w:highlight w:val="none"/>
                <w:lang w:val="zh-CN" w:eastAsia="zh-CN" w:bidi="ar-SA"/>
              </w:rPr>
              <w:t>针对系统使用人员提供操作培训，确保各层次人员能够胜任日常技术</w:t>
            </w:r>
            <w:r>
              <w:rPr>
                <w:rFonts w:ascii="Calibri" w:hAnsi="Calibri" w:eastAsia="Calibri" w:cs="宋体"/>
                <w:spacing w:val="-3"/>
                <w:sz w:val="22"/>
                <w:highlight w:val="none"/>
                <w:lang w:val="zh-CN" w:eastAsia="zh-CN" w:bidi="ar-SA"/>
              </w:rPr>
              <w:t xml:space="preserve">管理和业务操作工作，培训次数根据实际需要而定。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72" w:type="dxa"/>
          </w:tcPr>
          <w:p>
            <w:pPr>
              <w:widowControl w:val="0"/>
              <w:spacing w:before="3"/>
              <w:ind w:right="408"/>
              <w:jc w:val="right"/>
              <w:rPr>
                <w:rFonts w:hint="eastAsia" w:ascii="Calibri" w:hAnsi="Calibri" w:eastAsia="宋体" w:cs="宋体"/>
                <w:sz w:val="22"/>
                <w:highlight w:val="none"/>
                <w:lang w:val="en-US" w:eastAsia="zh-CN" w:bidi="ar-SA"/>
              </w:rPr>
            </w:pPr>
            <w:r>
              <w:rPr>
                <w:rFonts w:hint="eastAsia" w:ascii="Calibri" w:hAnsi="Calibri" w:eastAsia="宋体" w:cs="宋体"/>
                <w:sz w:val="22"/>
                <w:highlight w:val="none"/>
                <w:lang w:val="en-US" w:eastAsia="zh-CN" w:bidi="ar-SA"/>
              </w:rPr>
              <w:t>2</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numPr>
                <w:ilvl w:val="0"/>
                <w:numId w:val="0"/>
              </w:numPr>
              <w:tabs>
                <w:tab w:val="left" w:pos="329"/>
              </w:tabs>
              <w:spacing w:before="2" w:line="280" w:lineRule="atLeast"/>
              <w:ind w:left="107" w:leftChars="0" w:right="92" w:rightChars="0"/>
              <w:jc w:val="both"/>
              <w:rPr>
                <w:rFonts w:ascii="Calibri" w:hAnsi="Calibri" w:eastAsia="Calibri" w:cs="宋体"/>
                <w:spacing w:val="-5"/>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66" w:type="dxa"/>
            <w:gridSpan w:val="5"/>
            <w:tcBorders>
              <w:right w:val="single" w:color="000000" w:sz="6" w:space="0"/>
            </w:tcBorders>
          </w:tcPr>
          <w:p>
            <w:pPr>
              <w:widowControl w:val="0"/>
              <w:spacing w:line="292"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cs="宋体" w:eastAsiaTheme="minorEastAsia"/>
                <w:sz w:val="22"/>
                <w:highlight w:val="none"/>
                <w:lang w:val="en-US" w:eastAsia="zh-CN" w:bidi="ar-SA"/>
              </w:rPr>
              <w:t>5</w:t>
            </w:r>
            <w:r>
              <w:rPr>
                <w:rFonts w:ascii="Calibri" w:hAnsi="Calibri" w:eastAsia="Calibri" w:cs="宋体"/>
                <w:sz w:val="22"/>
                <w:highlight w:val="none"/>
                <w:lang w:val="zh-CN" w:eastAsia="zh-CN" w:bidi="ar-SA"/>
              </w:rPr>
              <w:t>：</w:t>
            </w:r>
            <w:r>
              <w:rPr>
                <w:rFonts w:hint="eastAsia" w:ascii="宋体" w:hAnsi="宋体" w:eastAsia="宋体" w:cs="宋体"/>
                <w:sz w:val="24"/>
                <w:highlight w:val="none"/>
                <w:lang w:val="zh-CN" w:eastAsia="zh-CN" w:bidi="ar-SA"/>
              </w:rPr>
              <w:t>文档管理</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172" w:type="dxa"/>
          </w:tcPr>
          <w:p>
            <w:pPr>
              <w:widowControl w:val="0"/>
              <w:spacing w:before="3"/>
              <w:ind w:right="408"/>
              <w:jc w:val="right"/>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1 </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spacing w:before="3" w:line="242" w:lineRule="auto"/>
              <w:ind w:left="107" w:right="90"/>
              <w:jc w:val="both"/>
              <w:rPr>
                <w:rFonts w:hint="default" w:ascii="Calibri" w:hAnsi="Calibri" w:eastAsia="Calibri" w:cs="宋体"/>
                <w:sz w:val="22"/>
                <w:highlight w:val="none"/>
                <w:lang w:val="en-US" w:eastAsia="zh-Hans" w:bidi="ar-SA"/>
              </w:rPr>
            </w:pPr>
            <w:r>
              <w:rPr>
                <w:rFonts w:ascii="Calibri" w:hAnsi="Calibri" w:eastAsia="Calibri" w:cs="宋体"/>
                <w:sz w:val="22"/>
                <w:highlight w:val="none"/>
                <w:lang w:val="zh-CN" w:eastAsia="zh-CN" w:bidi="ar-SA"/>
              </w:rPr>
              <w:t>供应商能对本项目中所需文档制定统一模板并进行清晰有效的分类管理与控制，为项目文档提供规范化的管理</w:t>
            </w:r>
            <w:r>
              <w:rPr>
                <w:rFonts w:hint="eastAsia" w:ascii="Calibri" w:hAnsi="Calibri" w:eastAsia="Calibri" w:cs="宋体"/>
                <w:sz w:val="22"/>
                <w:highlight w:val="none"/>
                <w:lang w:val="zh-CN" w:eastAsia="zh-Hans" w:bidi="ar-SA"/>
              </w:rPr>
              <w:t>，</w:t>
            </w:r>
            <w:r>
              <w:rPr>
                <w:rFonts w:ascii="Calibri" w:hAnsi="Calibri" w:eastAsia="Calibri" w:cs="宋体"/>
                <w:sz w:val="22"/>
                <w:highlight w:val="none"/>
                <w:lang w:val="zh-CN" w:eastAsia="zh-CN" w:bidi="ar-SA"/>
              </w:rPr>
              <w:t>供应商提供的文档包括但不限于：巡检记录表、故障处理</w:t>
            </w:r>
            <w:r>
              <w:rPr>
                <w:rFonts w:hint="eastAsia" w:ascii="Calibri" w:hAnsi="Calibri" w:eastAsia="Calibri" w:cs="宋体"/>
                <w:sz w:val="22"/>
                <w:highlight w:val="none"/>
                <w:lang w:val="en-US" w:eastAsia="zh-CN" w:bidi="ar-SA"/>
              </w:rPr>
              <w:t>记录表</w:t>
            </w:r>
            <w:r>
              <w:rPr>
                <w:rFonts w:ascii="Calibri" w:hAnsi="Calibri" w:eastAsia="Calibri" w:cs="宋体"/>
                <w:sz w:val="22"/>
                <w:highlight w:val="none"/>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pPr>
              <w:widowControl w:val="0"/>
              <w:spacing w:before="3"/>
              <w:ind w:right="408"/>
              <w:jc w:val="right"/>
              <w:rPr>
                <w:rFonts w:hint="eastAsia" w:ascii="Calibri" w:hAnsi="Calibri" w:eastAsia="宋体" w:cs="宋体"/>
                <w:sz w:val="22"/>
                <w:highlight w:val="none"/>
                <w:lang w:val="en-US" w:eastAsia="zh-CN" w:bidi="ar-SA"/>
              </w:rPr>
            </w:pPr>
            <w:r>
              <w:rPr>
                <w:rFonts w:hint="eastAsia" w:ascii="Calibri" w:hAnsi="Calibri" w:eastAsia="宋体" w:cs="宋体"/>
                <w:sz w:val="22"/>
                <w:highlight w:val="none"/>
                <w:lang w:val="en-US" w:eastAsia="zh-CN" w:bidi="ar-SA"/>
              </w:rPr>
              <w:t>2</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spacing w:before="3" w:line="242" w:lineRule="auto"/>
              <w:ind w:left="107" w:right="90"/>
              <w:jc w:val="both"/>
              <w:rPr>
                <w:rFonts w:ascii="Calibri" w:hAnsi="Calibri" w:eastAsia="Calibri" w:cs="宋体"/>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pPr>
              <w:widowControl w:val="0"/>
              <w:spacing w:line="289"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eastAsia="Calibri" w:cs="宋体"/>
                <w:sz w:val="22"/>
                <w:highlight w:val="none"/>
                <w:lang w:val="en-US" w:eastAsia="zh-CN" w:bidi="ar-SA"/>
              </w:rPr>
              <w:t>6</w:t>
            </w:r>
            <w:r>
              <w:rPr>
                <w:rFonts w:ascii="Calibri" w:hAnsi="Calibri" w:eastAsia="Calibri" w:cs="宋体"/>
                <w:sz w:val="22"/>
                <w:highlight w:val="none"/>
                <w:lang w:val="zh-CN" w:eastAsia="zh-CN" w:bidi="ar-SA"/>
              </w:rPr>
              <w:t>：</w:t>
            </w:r>
            <w:r>
              <w:rPr>
                <w:rFonts w:ascii="Calibri" w:hAnsi="Calibri" w:eastAsia="Calibri" w:cs="宋体"/>
                <w:sz w:val="24"/>
                <w:highlight w:val="none"/>
                <w:lang w:val="zh-CN" w:eastAsia="zh-CN" w:bidi="ar-SA"/>
              </w:rPr>
              <w:t>服务人员</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1172" w:type="dxa"/>
          </w:tcPr>
          <w:p>
            <w:pPr>
              <w:widowControl w:val="0"/>
              <w:spacing w:before="3"/>
              <w:ind w:right="408"/>
              <w:jc w:val="right"/>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1 </w:t>
            </w:r>
          </w:p>
        </w:tc>
        <w:tc>
          <w:tcPr>
            <w:tcW w:w="1760" w:type="dxa"/>
          </w:tcPr>
          <w:p>
            <w:pPr>
              <w:widowControl w:val="0"/>
              <w:spacing w:before="3"/>
              <w:ind w:left="255" w:right="135"/>
              <w:jc w:val="center"/>
              <w:rPr>
                <w:rFonts w:ascii="Calibri" w:hAnsi="Calibri" w:cs="宋体" w:eastAsiaTheme="minorEastAsia"/>
                <w:sz w:val="22"/>
                <w:highlight w:val="none"/>
                <w:lang w:val="zh-CN" w:eastAsia="zh-CN" w:bidi="ar-SA"/>
              </w:rPr>
            </w:pPr>
            <w:r>
              <w:rPr>
                <w:rFonts w:ascii="Calibri" w:hAnsi="Calibri" w:eastAsia="Calibri" w:cs="宋体"/>
                <w:sz w:val="22"/>
                <w:highlight w:val="none"/>
                <w:lang w:val="zh-CN" w:eastAsia="zh-CN" w:bidi="ar-SA"/>
              </w:rPr>
              <w:t>★实质性条款</w:t>
            </w:r>
          </w:p>
        </w:tc>
        <w:tc>
          <w:tcPr>
            <w:tcW w:w="7034" w:type="dxa"/>
            <w:gridSpan w:val="3"/>
            <w:tcBorders>
              <w:right w:val="single" w:color="000000" w:sz="6" w:space="0"/>
            </w:tcBorders>
          </w:tcPr>
          <w:p>
            <w:pPr>
              <w:widowControl w:val="0"/>
              <w:spacing w:before="3" w:line="242" w:lineRule="auto"/>
              <w:ind w:left="107" w:right="92"/>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为保障系统平稳运行及服务质量，供应商应为本项目配置具有丰富的设计、开发和实施经验的专业技术团队。 </w:t>
            </w:r>
          </w:p>
          <w:p>
            <w:pPr>
              <w:widowControl w:val="0"/>
              <w:numPr>
                <w:ilvl w:val="0"/>
                <w:numId w:val="22"/>
              </w:numPr>
              <w:tabs>
                <w:tab w:val="left" w:pos="329"/>
              </w:tabs>
              <w:spacing w:before="2" w:line="242" w:lineRule="auto"/>
              <w:ind w:right="96" w:firstLine="0"/>
              <w:jc w:val="both"/>
              <w:rPr>
                <w:rFonts w:ascii="Calibri" w:hAnsi="Calibri" w:eastAsia="Calibri" w:cs="宋体"/>
                <w:sz w:val="22"/>
                <w:highlight w:val="none"/>
                <w:lang w:val="zh-CN" w:eastAsia="zh-CN" w:bidi="ar-SA"/>
              </w:rPr>
            </w:pPr>
            <w:r>
              <w:rPr>
                <w:rFonts w:ascii="Calibri" w:hAnsi="Calibri" w:eastAsia="Calibri" w:cs="宋体"/>
                <w:spacing w:val="-5"/>
                <w:sz w:val="22"/>
                <w:highlight w:val="none"/>
                <w:lang w:val="zh-CN" w:eastAsia="zh-CN" w:bidi="ar-SA"/>
              </w:rPr>
              <w:t>供应商应安排一位高层领导作为运维服务项目的总协调人，充分保证</w:t>
            </w:r>
            <w:r>
              <w:rPr>
                <w:rFonts w:ascii="Calibri" w:hAnsi="Calibri" w:eastAsia="Calibri" w:cs="宋体"/>
                <w:spacing w:val="-3"/>
                <w:sz w:val="22"/>
                <w:highlight w:val="none"/>
                <w:lang w:val="zh-CN" w:eastAsia="zh-CN" w:bidi="ar-SA"/>
              </w:rPr>
              <w:t>系统维护的人力资源和系统资源的连续性和及时性</w:t>
            </w:r>
            <w:r>
              <w:rPr>
                <w:rFonts w:hint="eastAsia" w:ascii="Calibri" w:hAnsi="Calibri" w:eastAsia="Calibri" w:cs="宋体"/>
                <w:spacing w:val="-3"/>
                <w:sz w:val="22"/>
                <w:highlight w:val="none"/>
                <w:lang w:val="zh-CN" w:eastAsia="zh-Hans" w:bidi="ar-SA"/>
              </w:rPr>
              <w:t>。</w:t>
            </w:r>
            <w:r>
              <w:rPr>
                <w:rFonts w:ascii="Calibri" w:hAnsi="Calibri" w:eastAsia="Calibri" w:cs="宋体"/>
                <w:spacing w:val="-3"/>
                <w:sz w:val="22"/>
                <w:highlight w:val="none"/>
                <w:lang w:val="zh-CN" w:eastAsia="zh-CN" w:bidi="ar-SA"/>
              </w:rPr>
              <w:t xml:space="preserve"> </w:t>
            </w:r>
          </w:p>
          <w:p>
            <w:pPr>
              <w:widowControl w:val="0"/>
              <w:numPr>
                <w:ilvl w:val="0"/>
                <w:numId w:val="22"/>
              </w:numPr>
              <w:tabs>
                <w:tab w:val="left" w:pos="336"/>
              </w:tabs>
              <w:spacing w:before="1" w:line="242" w:lineRule="auto"/>
              <w:ind w:right="95" w:firstLine="0"/>
              <w:jc w:val="both"/>
              <w:rPr>
                <w:rFonts w:ascii="Calibri" w:hAnsi="Calibri" w:eastAsia="Calibri" w:cs="宋体"/>
                <w:sz w:val="22"/>
                <w:highlight w:val="none"/>
                <w:lang w:val="zh-CN" w:eastAsia="zh-CN" w:bidi="ar-SA"/>
              </w:rPr>
            </w:pPr>
            <w:r>
              <w:rPr>
                <w:rFonts w:ascii="Calibri" w:hAnsi="Calibri" w:eastAsia="Calibri" w:cs="宋体"/>
                <w:spacing w:val="3"/>
                <w:sz w:val="22"/>
                <w:highlight w:val="none"/>
                <w:lang w:val="zh-CN" w:eastAsia="zh-CN" w:bidi="ar-SA"/>
              </w:rPr>
              <w:t>指定一名熟悉本系统的项目经理为本项目的服务运维总负责人即项</w:t>
            </w:r>
            <w:r>
              <w:rPr>
                <w:rFonts w:ascii="Calibri" w:hAnsi="Calibri" w:eastAsia="Calibri" w:cs="宋体"/>
                <w:spacing w:val="-3"/>
                <w:sz w:val="22"/>
                <w:highlight w:val="none"/>
                <w:lang w:val="zh-CN" w:eastAsia="zh-CN" w:bidi="ar-SA"/>
              </w:rPr>
              <w:t>目经理，根据系统运维服务需要进行远程支持和不定期的现场支持；</w:t>
            </w:r>
            <w:r>
              <w:rPr>
                <w:rFonts w:ascii="Calibri" w:hAnsi="Calibri" w:eastAsia="Calibri" w:cs="宋体"/>
                <w:spacing w:val="-18"/>
                <w:sz w:val="22"/>
                <w:highlight w:val="none"/>
                <w:lang w:val="zh-CN" w:eastAsia="zh-CN" w:bidi="ar-SA"/>
              </w:rPr>
              <w:t xml:space="preserve">指定 </w:t>
            </w:r>
            <w:r>
              <w:rPr>
                <w:rFonts w:ascii="Calibri" w:hAnsi="Calibri" w:eastAsia="Calibri" w:cs="宋体"/>
                <w:sz w:val="22"/>
                <w:highlight w:val="none"/>
                <w:lang w:val="zh-CN" w:eastAsia="zh-CN" w:bidi="ar-SA"/>
              </w:rPr>
              <w:t>1-2</w:t>
            </w:r>
            <w:r>
              <w:rPr>
                <w:rFonts w:ascii="Calibri" w:hAnsi="Calibri" w:eastAsia="Calibri" w:cs="宋体"/>
                <w:spacing w:val="-8"/>
                <w:sz w:val="22"/>
                <w:highlight w:val="none"/>
                <w:lang w:val="zh-CN" w:eastAsia="zh-CN" w:bidi="ar-SA"/>
              </w:rPr>
              <w:t xml:space="preserve"> 名技术人员作为运维服务的直接提供者。对于本项目所指定</w:t>
            </w:r>
            <w:r>
              <w:rPr>
                <w:rFonts w:ascii="Calibri" w:hAnsi="Calibri" w:eastAsia="Calibri" w:cs="宋体"/>
                <w:sz w:val="22"/>
                <w:highlight w:val="none"/>
                <w:lang w:val="zh-CN" w:eastAsia="zh-CN" w:bidi="ar-SA"/>
              </w:rPr>
              <w:t>的人员，须保持其稳定性，非特殊原因不能随便更换人员。</w:t>
            </w:r>
          </w:p>
          <w:p>
            <w:pPr>
              <w:widowControl w:val="0"/>
              <w:numPr>
                <w:ilvl w:val="0"/>
                <w:numId w:val="0"/>
              </w:numPr>
              <w:tabs>
                <w:tab w:val="left" w:pos="336"/>
              </w:tabs>
              <w:spacing w:before="1" w:line="242" w:lineRule="auto"/>
              <w:ind w:left="107" w:leftChars="0" w:right="95" w:rightChars="0"/>
              <w:jc w:val="both"/>
              <w:rPr>
                <w:rFonts w:ascii="Calibri" w:hAnsi="Calibri" w:eastAsia="Calibri" w:cs="宋体"/>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pPr>
              <w:widowControl w:val="0"/>
              <w:spacing w:before="3"/>
              <w:ind w:right="408"/>
              <w:jc w:val="right"/>
              <w:rPr>
                <w:rFonts w:hint="eastAsia" w:ascii="Calibri" w:hAnsi="Calibri" w:eastAsia="宋体" w:cs="宋体"/>
                <w:sz w:val="22"/>
                <w:highlight w:val="none"/>
                <w:lang w:val="en-US" w:eastAsia="zh-CN" w:bidi="ar-SA"/>
              </w:rPr>
            </w:pPr>
            <w:r>
              <w:rPr>
                <w:rFonts w:hint="eastAsia" w:ascii="Calibri" w:hAnsi="Calibri" w:eastAsia="宋体" w:cs="宋体"/>
                <w:sz w:val="22"/>
                <w:highlight w:val="none"/>
                <w:lang w:val="en-US" w:eastAsia="zh-CN" w:bidi="ar-SA"/>
              </w:rPr>
              <w:t>2</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numPr>
                <w:ilvl w:val="0"/>
                <w:numId w:val="0"/>
              </w:numPr>
              <w:tabs>
                <w:tab w:val="left" w:pos="336"/>
              </w:tabs>
              <w:spacing w:before="1" w:line="242" w:lineRule="auto"/>
              <w:ind w:left="107" w:leftChars="0" w:right="95" w:rightChars="0"/>
              <w:jc w:val="both"/>
              <w:rPr>
                <w:rFonts w:ascii="Calibri" w:hAnsi="Calibri" w:eastAsia="Calibri" w:cs="宋体"/>
                <w:spacing w:val="3"/>
                <w:sz w:val="22"/>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pPr>
              <w:widowControl w:val="0"/>
              <w:spacing w:line="289"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产品/服务 </w:t>
            </w:r>
            <w:r>
              <w:rPr>
                <w:rFonts w:hint="eastAsia" w:ascii="Calibri" w:hAnsi="Calibri" w:eastAsia="Calibri" w:cs="宋体"/>
                <w:sz w:val="22"/>
                <w:highlight w:val="none"/>
                <w:lang w:val="en-US" w:eastAsia="zh-CN" w:bidi="ar-SA"/>
              </w:rPr>
              <w:t>7</w:t>
            </w:r>
            <w:r>
              <w:rPr>
                <w:rFonts w:ascii="Calibri" w:hAnsi="Calibri" w:eastAsia="Calibri" w:cs="宋体"/>
                <w:sz w:val="22"/>
                <w:highlight w:val="none"/>
                <w:lang w:val="zh-CN" w:eastAsia="zh-CN" w:bidi="ar-SA"/>
              </w:rPr>
              <w:t>：</w:t>
            </w:r>
            <w:r>
              <w:rPr>
                <w:rFonts w:ascii="Calibri" w:hAnsi="Calibri" w:eastAsia="Calibri" w:cs="宋体"/>
                <w:sz w:val="24"/>
                <w:highlight w:val="none"/>
                <w:lang w:val="zh-CN" w:eastAsia="zh-CN" w:bidi="ar-SA"/>
              </w:rPr>
              <w:t>信息安全</w:t>
            </w:r>
            <w:r>
              <w:rPr>
                <w:rFonts w:ascii="Calibri" w:hAnsi="Calibri" w:eastAsia="Calibri" w:cs="宋体"/>
                <w:sz w:val="22"/>
                <w:highlight w:val="none"/>
                <w:lang w:val="zh-CN"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172" w:type="dxa"/>
          </w:tcPr>
          <w:p>
            <w:pPr>
              <w:widowControl w:val="0"/>
              <w:spacing w:before="3"/>
              <w:ind w:right="408"/>
              <w:jc w:val="right"/>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1 </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 xml:space="preserve">★实质性条款 </w:t>
            </w:r>
          </w:p>
        </w:tc>
        <w:tc>
          <w:tcPr>
            <w:tcW w:w="7034" w:type="dxa"/>
            <w:gridSpan w:val="3"/>
            <w:tcBorders>
              <w:right w:val="single" w:color="000000" w:sz="6" w:space="0"/>
            </w:tcBorders>
          </w:tcPr>
          <w:p>
            <w:pPr>
              <w:widowControl w:val="0"/>
              <w:numPr>
                <w:ilvl w:val="0"/>
                <w:numId w:val="23"/>
              </w:numPr>
              <w:tabs>
                <w:tab w:val="left" w:pos="329"/>
              </w:tabs>
              <w:spacing w:before="3" w:line="242" w:lineRule="auto"/>
              <w:ind w:right="94" w:firstLine="0"/>
              <w:jc w:val="both"/>
              <w:rPr>
                <w:rFonts w:ascii="Calibri" w:hAnsi="Calibri" w:eastAsia="Calibri" w:cs="宋体"/>
                <w:sz w:val="22"/>
                <w:highlight w:val="none"/>
                <w:lang w:val="zh-CN" w:eastAsia="zh-CN" w:bidi="ar-SA"/>
              </w:rPr>
            </w:pPr>
            <w:r>
              <w:rPr>
                <w:rFonts w:ascii="Calibri" w:hAnsi="Calibri" w:eastAsia="Calibri" w:cs="宋体"/>
                <w:spacing w:val="-4"/>
                <w:sz w:val="22"/>
                <w:highlight w:val="none"/>
                <w:lang w:val="zh-CN" w:eastAsia="zh-CN" w:bidi="ar-SA"/>
              </w:rPr>
              <w:t>供应商对运维项目所涉及技术资料、系统数据等有保密责任，严禁向</w:t>
            </w:r>
            <w:r>
              <w:rPr>
                <w:rFonts w:ascii="Calibri" w:hAnsi="Calibri" w:eastAsia="Calibri" w:cs="宋体"/>
                <w:spacing w:val="-2"/>
                <w:sz w:val="22"/>
                <w:highlight w:val="none"/>
                <w:lang w:val="zh-CN" w:eastAsia="zh-CN" w:bidi="ar-SA"/>
              </w:rPr>
              <w:t>第三方泄露</w:t>
            </w:r>
            <w:r>
              <w:rPr>
                <w:rFonts w:hint="eastAsia" w:ascii="Calibri" w:hAnsi="Calibri" w:eastAsia="Calibri" w:cs="宋体"/>
                <w:spacing w:val="-2"/>
                <w:sz w:val="22"/>
                <w:highlight w:val="none"/>
                <w:lang w:val="zh-CN" w:eastAsia="zh-Hans" w:bidi="ar-SA"/>
              </w:rPr>
              <w:t>，</w:t>
            </w:r>
            <w:r>
              <w:rPr>
                <w:rFonts w:hint="eastAsia" w:ascii="Calibri" w:hAnsi="Calibri" w:eastAsia="Calibri" w:cs="宋体"/>
                <w:spacing w:val="-2"/>
                <w:sz w:val="22"/>
                <w:highlight w:val="none"/>
                <w:lang w:val="en-US" w:eastAsia="zh-Hans" w:bidi="ar-SA"/>
              </w:rPr>
              <w:t>否则供应商承担相应的法律责任</w:t>
            </w:r>
            <w:r>
              <w:rPr>
                <w:rFonts w:hint="eastAsia" w:ascii="Calibri" w:hAnsi="Calibri" w:eastAsia="Calibri" w:cs="宋体"/>
                <w:spacing w:val="-2"/>
                <w:sz w:val="22"/>
                <w:highlight w:val="none"/>
                <w:lang w:val="zh-CN" w:eastAsia="zh-Hans" w:bidi="ar-SA"/>
              </w:rPr>
              <w:t>。</w:t>
            </w:r>
            <w:r>
              <w:rPr>
                <w:rFonts w:ascii="Calibri" w:hAnsi="Calibri" w:eastAsia="Calibri" w:cs="宋体"/>
                <w:sz w:val="22"/>
                <w:highlight w:val="none"/>
                <w:lang w:val="zh-CN" w:eastAsia="zh-CN" w:bidi="ar-SA"/>
              </w:rPr>
              <w:t xml:space="preserve"> </w:t>
            </w:r>
          </w:p>
          <w:p>
            <w:pPr>
              <w:widowControl w:val="0"/>
              <w:numPr>
                <w:ilvl w:val="0"/>
                <w:numId w:val="23"/>
              </w:numPr>
              <w:tabs>
                <w:tab w:val="left" w:pos="329"/>
              </w:tabs>
              <w:spacing w:before="2"/>
              <w:ind w:left="329"/>
              <w:jc w:val="both"/>
              <w:rPr>
                <w:rFonts w:ascii="Calibri" w:hAnsi="Calibri" w:eastAsia="Calibri" w:cs="宋体"/>
                <w:sz w:val="22"/>
                <w:highlight w:val="none"/>
                <w:lang w:val="zh-CN" w:eastAsia="zh-CN" w:bidi="ar-SA"/>
              </w:rPr>
            </w:pPr>
            <w:r>
              <w:rPr>
                <w:rFonts w:ascii="Calibri" w:hAnsi="Calibri" w:eastAsia="Calibri" w:cs="宋体"/>
                <w:spacing w:val="-4"/>
                <w:sz w:val="22"/>
                <w:highlight w:val="none"/>
                <w:lang w:val="zh-CN" w:eastAsia="zh-CN" w:bidi="ar-SA"/>
              </w:rPr>
              <w:t>供应商对本项目涉及软硬件环境及数据负有安全责任，应定期进行数</w:t>
            </w:r>
          </w:p>
          <w:p>
            <w:pPr>
              <w:widowControl w:val="0"/>
              <w:spacing w:before="3" w:line="262" w:lineRule="exact"/>
              <w:ind w:left="107"/>
              <w:jc w:val="both"/>
              <w:rPr>
                <w:rFonts w:ascii="Calibri" w:hAnsi="Calibri" w:eastAsia="Calibri" w:cs="宋体"/>
                <w:sz w:val="22"/>
                <w:highlight w:val="none"/>
                <w:lang w:val="zh-CN" w:eastAsia="zh-CN" w:bidi="ar-SA"/>
              </w:rPr>
            </w:pPr>
            <w:r>
              <w:rPr>
                <w:rFonts w:ascii="Calibri" w:hAnsi="Calibri" w:eastAsia="Calibri" w:cs="宋体"/>
                <w:sz w:val="22"/>
                <w:highlight w:val="none"/>
                <w:lang w:val="zh-CN" w:eastAsia="zh-CN" w:bidi="ar-SA"/>
              </w:rPr>
              <w:t>据备份、漏洞修复、密码更换等，</w:t>
            </w:r>
            <w:r>
              <w:rPr>
                <w:rFonts w:hint="eastAsia" w:ascii="Calibri" w:hAnsi="Calibri" w:eastAsia="Calibri" w:cs="宋体"/>
                <w:spacing w:val="-4"/>
                <w:sz w:val="22"/>
                <w:highlight w:val="none"/>
                <w:lang w:val="zh-CN" w:eastAsia="zh-CN" w:bidi="ar-SA"/>
              </w:rPr>
              <w:t>配合修复信息系统漏洞，</w:t>
            </w:r>
            <w:r>
              <w:rPr>
                <w:rFonts w:ascii="Calibri" w:hAnsi="Calibri" w:eastAsia="Calibri" w:cs="宋体"/>
                <w:sz w:val="22"/>
                <w:highlight w:val="none"/>
                <w:lang w:val="zh-CN" w:eastAsia="zh-CN" w:bidi="ar-SA"/>
              </w:rPr>
              <w:t>避免安全事件发生。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72" w:type="dxa"/>
          </w:tcPr>
          <w:p>
            <w:pPr>
              <w:widowControl w:val="0"/>
              <w:spacing w:before="3"/>
              <w:ind w:right="408"/>
              <w:jc w:val="right"/>
              <w:rPr>
                <w:rFonts w:hint="eastAsia" w:ascii="Calibri" w:hAnsi="Calibri" w:eastAsia="宋体" w:cs="宋体"/>
                <w:sz w:val="22"/>
                <w:highlight w:val="none"/>
                <w:lang w:val="en-US" w:eastAsia="zh-CN" w:bidi="ar-SA"/>
              </w:rPr>
            </w:pPr>
            <w:r>
              <w:rPr>
                <w:rFonts w:hint="eastAsia" w:ascii="Calibri" w:hAnsi="Calibri" w:eastAsia="宋体" w:cs="宋体"/>
                <w:sz w:val="22"/>
                <w:highlight w:val="none"/>
                <w:lang w:val="en-US" w:eastAsia="zh-CN" w:bidi="ar-SA"/>
              </w:rPr>
              <w:t>2</w:t>
            </w:r>
          </w:p>
        </w:tc>
        <w:tc>
          <w:tcPr>
            <w:tcW w:w="1760" w:type="dxa"/>
          </w:tcPr>
          <w:p>
            <w:pPr>
              <w:widowControl w:val="0"/>
              <w:spacing w:before="3"/>
              <w:ind w:left="255" w:right="135"/>
              <w:jc w:val="center"/>
              <w:rPr>
                <w:rFonts w:ascii="Calibri" w:hAnsi="Calibri" w:eastAsia="Calibri" w:cs="宋体"/>
                <w:sz w:val="22"/>
                <w:highlight w:val="none"/>
                <w:lang w:val="zh-CN" w:eastAsia="zh-CN" w:bidi="ar-SA"/>
              </w:rPr>
            </w:pPr>
            <w:r>
              <w:rPr>
                <w:rFonts w:hint="eastAsia" w:ascii="宋体" w:hAnsi="宋体" w:eastAsia="宋体" w:cs="宋体"/>
                <w:sz w:val="22"/>
                <w:szCs w:val="22"/>
                <w:highlight w:val="none"/>
                <w:lang w:val="en-US" w:eastAsia="en-US" w:bidi="ar-SA"/>
              </w:rPr>
              <w:t>非实质性条款</w:t>
            </w:r>
          </w:p>
        </w:tc>
        <w:tc>
          <w:tcPr>
            <w:tcW w:w="7034" w:type="dxa"/>
            <w:gridSpan w:val="3"/>
            <w:tcBorders>
              <w:right w:val="single" w:color="000000" w:sz="6" w:space="0"/>
            </w:tcBorders>
          </w:tcPr>
          <w:p>
            <w:pPr>
              <w:widowControl w:val="0"/>
              <w:spacing w:before="3" w:line="262" w:lineRule="exact"/>
              <w:ind w:left="107"/>
              <w:jc w:val="both"/>
              <w:rPr>
                <w:rFonts w:ascii="Calibri" w:hAnsi="Calibri" w:eastAsia="Calibri" w:cs="宋体"/>
                <w:sz w:val="22"/>
                <w:highlight w:val="none"/>
                <w:lang w:val="zh-CN" w:eastAsia="zh-CN" w:bidi="ar-SA"/>
              </w:rPr>
            </w:pPr>
          </w:p>
        </w:tc>
      </w:tr>
    </w:tbl>
    <w:p>
      <w:pPr>
        <w:rPr>
          <w:highlight w:val="none"/>
        </w:rPr>
      </w:pPr>
    </w:p>
    <w:p>
      <w:pPr>
        <w:pStyle w:val="2"/>
        <w:rPr>
          <w:highlight w:val="none"/>
        </w:rPr>
      </w:pPr>
    </w:p>
    <w:p>
      <w:pPr>
        <w:pStyle w:val="427"/>
        <w:tabs>
          <w:tab w:val="clear" w:pos="1760"/>
        </w:tabs>
        <w:spacing w:before="0"/>
        <w:ind w:left="0" w:leftChars="0" w:right="0" w:rightChars="0"/>
        <w:rPr>
          <w:highlight w:val="none"/>
          <w:lang w:eastAsia="zh-CN"/>
        </w:rPr>
      </w:pPr>
      <w:r>
        <w:rPr>
          <w:rFonts w:hint="eastAsia"/>
          <w:highlight w:val="none"/>
          <w:lang w:eastAsia="zh-CN"/>
        </w:rPr>
        <w:t>四、商务部分要求</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r>
        <w:rPr>
          <w:rFonts w:hint="eastAsia" w:ascii="宋体" w:hAnsi="宋体" w:eastAsia="宋体"/>
          <w:b/>
          <w:bCs/>
          <w:color w:val="000000"/>
          <w:sz w:val="24"/>
          <w:szCs w:val="24"/>
          <w:highlight w:val="none"/>
        </w:rPr>
        <w:t>质保期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本年度</w:t>
      </w:r>
      <w:r>
        <w:rPr>
          <w:rFonts w:hint="eastAsia" w:ascii="宋体" w:hAnsi="宋体" w:eastAsia="宋体"/>
          <w:color w:val="000000"/>
          <w:sz w:val="24"/>
          <w:szCs w:val="24"/>
          <w:highlight w:val="none"/>
        </w:rPr>
        <w:t>。</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b/>
          <w:bCs/>
          <w:color w:val="000000"/>
          <w:sz w:val="24"/>
          <w:szCs w:val="24"/>
          <w:highlight w:val="none"/>
        </w:rPr>
        <w:t>售后服务要求</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ascii="宋体" w:hAnsi="宋体" w:eastAsia="宋体"/>
          <w:color w:val="000000"/>
          <w:sz w:val="24"/>
          <w:szCs w:val="24"/>
          <w:highlight w:val="none"/>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highlight w:val="none"/>
        </w:rPr>
        <w:cr/>
      </w:r>
      <w:r>
        <w:rPr>
          <w:rFonts w:ascii="宋体" w:hAnsi="宋体" w:eastAsia="宋体"/>
          <w:color w:val="000000"/>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highlight w:val="none"/>
        </w:rPr>
        <w:cr/>
      </w:r>
      <w:r>
        <w:rPr>
          <w:rFonts w:ascii="宋体" w:hAnsi="宋体" w:eastAsia="宋体"/>
          <w:color w:val="000000"/>
          <w:sz w:val="24"/>
          <w:szCs w:val="24"/>
          <w:highlight w:val="none"/>
        </w:rPr>
        <w:t>3）供应商需提供定期回访服务，对采购人提出的合理优化建议</w:t>
      </w:r>
      <w:r>
        <w:rPr>
          <w:rFonts w:hint="eastAsia" w:ascii="宋体" w:hAnsi="宋体" w:eastAsia="宋体"/>
          <w:color w:val="000000"/>
          <w:sz w:val="24"/>
          <w:szCs w:val="24"/>
          <w:highlight w:val="none"/>
          <w:lang w:val="en-US" w:eastAsia="zh-CN"/>
        </w:rPr>
        <w:t>和由上级部门政策要求导致的需求</w:t>
      </w:r>
      <w:r>
        <w:rPr>
          <w:rFonts w:ascii="宋体" w:hAnsi="宋体" w:eastAsia="宋体"/>
          <w:color w:val="000000"/>
          <w:sz w:val="24"/>
          <w:szCs w:val="24"/>
          <w:highlight w:val="none"/>
        </w:rPr>
        <w:t>应提供免费升级服务。</w:t>
      </w:r>
      <w:r>
        <w:rPr>
          <w:rFonts w:ascii="宋体" w:hAnsi="宋体" w:eastAsia="宋体"/>
          <w:color w:val="000000"/>
          <w:sz w:val="24"/>
          <w:szCs w:val="24"/>
          <w:highlight w:val="none"/>
        </w:rPr>
        <w:cr/>
      </w:r>
      <w:r>
        <w:rPr>
          <w:rFonts w:ascii="宋体" w:hAnsi="宋体" w:eastAsia="宋体"/>
          <w:color w:val="000000"/>
          <w:sz w:val="24"/>
          <w:szCs w:val="24"/>
          <w:highlight w:val="none"/>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培训要求</w:t>
      </w:r>
      <w:r>
        <w:rPr>
          <w:rFonts w:hint="eastAsia" w:ascii="宋体" w:hAnsi="宋体" w:eastAsia="宋体"/>
          <w:color w:val="000000"/>
          <w:sz w:val="24"/>
          <w:szCs w:val="24"/>
          <w:highlight w:val="none"/>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服务保障和自罚承诺</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1）供应商应对照</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报价说明</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w:t>
      </w:r>
      <w:r>
        <w:rPr>
          <w:rFonts w:ascii="宋体" w:hAnsi="宋体" w:eastAsia="宋体"/>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2）供应商的任何错漏、优惠、竞争性报价不得作为减轻责任、减少服务、增加收费、降低服务质量的理由。</w:t>
      </w:r>
    </w:p>
    <w:p>
      <w:pPr>
        <w:widowControl/>
        <w:shd w:val="clear" w:color="auto" w:fill="FFFFFF"/>
        <w:spacing w:line="360" w:lineRule="auto"/>
        <w:ind w:left="200" w:leftChars="100"/>
        <w:rPr>
          <w:rFonts w:hint="eastAsia"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left="200" w:leftChars="1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因国家、省、市行政主管部门政策变化导致的系统软件接口新增或改动，包含在本次费用内。</w:t>
      </w:r>
    </w:p>
    <w:p>
      <w:pPr>
        <w:widowControl/>
        <w:shd w:val="clear" w:color="auto" w:fill="FFFFFF"/>
        <w:spacing w:line="360" w:lineRule="auto"/>
        <w:ind w:left="200" w:leftChars="100"/>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5</w:t>
      </w: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s="宋体"/>
          <w:color w:val="000000"/>
          <w:sz w:val="24"/>
          <w:szCs w:val="24"/>
          <w:highlight w:val="none"/>
          <w:lang w:val="en-US" w:eastAsia="zh-CN"/>
        </w:rPr>
        <w:t>。</w:t>
      </w:r>
    </w:p>
    <w:p>
      <w:pPr>
        <w:widowControl/>
        <w:shd w:val="clear" w:color="auto" w:fill="FFFFFF"/>
        <w:spacing w:line="360" w:lineRule="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付款条件</w:t>
      </w:r>
      <w:r>
        <w:rPr>
          <w:rFonts w:hint="eastAsia" w:ascii="宋体" w:hAnsi="宋体" w:eastAsia="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ascii="Calibri" w:hAnsi="Calibri" w:eastAsia="Calibri" w:cs="宋体"/>
          <w:highlight w:val="none"/>
          <w:lang w:val="zh-CN" w:eastAsia="zh-CN" w:bidi="ar-SA"/>
        </w:rPr>
      </w:pPr>
      <w:bookmarkStart w:id="2" w:name="_Hlk79656128"/>
      <w:r>
        <w:rPr>
          <w:rFonts w:hint="eastAsia" w:ascii="Calibri" w:hAnsi="Calibri" w:eastAsia="Calibri" w:cs="宋体"/>
          <w:b w:val="0"/>
          <w:bCs w:val="0"/>
          <w:color w:val="000000"/>
          <w:sz w:val="24"/>
          <w:szCs w:val="24"/>
          <w:highlight w:val="none"/>
          <w:lang w:val="zh-CN" w:eastAsia="zh-CN" w:bidi="ar-SA"/>
        </w:rPr>
        <w:t>合同签订后10</w:t>
      </w:r>
      <w:r>
        <w:rPr>
          <w:rFonts w:hint="eastAsia" w:ascii="Times New Roman" w:hAnsi="Calibri" w:eastAsia="Calibri" w:cs="宋体"/>
          <w:b w:val="0"/>
          <w:bCs w:val="0"/>
          <w:color w:val="000000"/>
          <w:sz w:val="24"/>
          <w:szCs w:val="24"/>
          <w:highlight w:val="none"/>
          <w:lang w:val="en-US" w:eastAsia="zh-CN" w:bidi="ar-SA"/>
        </w:rPr>
        <w:t>个工作</w:t>
      </w:r>
      <w:r>
        <w:rPr>
          <w:rFonts w:hint="eastAsia" w:ascii="Calibri" w:hAnsi="Calibri" w:eastAsia="Calibri" w:cs="宋体"/>
          <w:b w:val="0"/>
          <w:bCs w:val="0"/>
          <w:color w:val="000000"/>
          <w:sz w:val="24"/>
          <w:szCs w:val="24"/>
          <w:highlight w:val="none"/>
          <w:lang w:val="zh-CN" w:eastAsia="zh-CN" w:bidi="ar-SA"/>
        </w:rPr>
        <w:t>日内，甲方向乙方支付合同款</w:t>
      </w:r>
      <w:r>
        <w:rPr>
          <w:rFonts w:hint="eastAsia" w:ascii="Calibri" w:hAnsi="Calibri" w:eastAsia="宋体" w:cs="宋体"/>
          <w:b w:val="0"/>
          <w:bCs w:val="0"/>
          <w:color w:val="000000"/>
          <w:sz w:val="24"/>
          <w:szCs w:val="24"/>
          <w:highlight w:val="none"/>
          <w:lang w:val="en-US" w:eastAsia="zh-CN" w:bidi="ar-SA"/>
        </w:rPr>
        <w:t>7</w:t>
      </w:r>
      <w:r>
        <w:rPr>
          <w:rFonts w:hint="eastAsia" w:ascii="Calibri" w:hAnsi="Calibri" w:eastAsia="Calibri" w:cs="宋体"/>
          <w:b w:val="0"/>
          <w:bCs w:val="0"/>
          <w:color w:val="000000"/>
          <w:sz w:val="24"/>
          <w:szCs w:val="24"/>
          <w:highlight w:val="none"/>
          <w:lang w:val="zh-CN" w:eastAsia="zh-CN" w:bidi="ar-SA"/>
        </w:rPr>
        <w:t>0%</w:t>
      </w:r>
      <w:r>
        <w:rPr>
          <w:rFonts w:hint="eastAsia" w:ascii="Calibri" w:hAnsi="Calibri" w:eastAsia="宋体" w:cs="宋体"/>
          <w:b w:val="0"/>
          <w:bCs w:val="0"/>
          <w:color w:val="000000"/>
          <w:sz w:val="24"/>
          <w:szCs w:val="24"/>
          <w:highlight w:val="none"/>
          <w:lang w:val="zh-CN" w:eastAsia="zh-CN" w:bidi="ar-SA"/>
        </w:rPr>
        <w:t>；</w:t>
      </w:r>
      <w:r>
        <w:rPr>
          <w:rFonts w:hint="eastAsia" w:ascii="Times New Roman" w:hAnsi="Calibri" w:eastAsia="宋体" w:cs="宋体"/>
          <w:b w:val="0"/>
          <w:bCs w:val="0"/>
          <w:color w:val="000000"/>
          <w:sz w:val="24"/>
          <w:szCs w:val="24"/>
          <w:highlight w:val="none"/>
          <w:lang w:val="en-US" w:eastAsia="zh-CN" w:bidi="ar-SA"/>
        </w:rPr>
        <w:t>在服务的第四季度，甲方向乙方支付合同款30%</w:t>
      </w:r>
      <w:r>
        <w:rPr>
          <w:rFonts w:hint="eastAsia" w:ascii="Calibri" w:hAnsi="Calibri" w:eastAsia="Calibri" w:cs="宋体"/>
          <w:b w:val="0"/>
          <w:bCs w:val="0"/>
          <w:color w:val="000000"/>
          <w:sz w:val="24"/>
          <w:szCs w:val="24"/>
          <w:highlight w:val="none"/>
          <w:lang w:val="zh-CN" w:eastAsia="zh-CN" w:bidi="ar-SA"/>
        </w:rPr>
        <w:t>。每次付款乙方需提前3个工作日提交付款申请，甲方经审核通过后进行付款，如因未及时提出付款申请而造成的相关责任，由乙方承担。</w:t>
      </w:r>
      <w:bookmarkEnd w:id="2"/>
    </w:p>
    <w:p>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highlight w:val="none"/>
          <w:lang w:val="en-US"/>
        </w:rPr>
        <w:t>供应商</w:t>
      </w:r>
      <w:r>
        <w:rPr>
          <w:rFonts w:hint="eastAsia" w:ascii="宋体" w:hAnsi="宋体" w:eastAsia="宋体"/>
          <w:b/>
          <w:bCs/>
          <w:sz w:val="24"/>
          <w:szCs w:val="24"/>
          <w:highlight w:val="none"/>
        </w:rPr>
        <w:t>可以采用其他品牌的产品进行投标，但是，所有功能必须能满足采购项目整体性能的实现。</w:t>
      </w:r>
    </w:p>
    <w:p>
      <w:pPr>
        <w:rPr>
          <w:rFonts w:hAnsi="黑体" w:cs="黑体"/>
          <w:color w:val="000000"/>
          <w:sz w:val="32"/>
          <w:szCs w:val="32"/>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outlineLvl w:val="1"/>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合同编号：</w:t>
      </w:r>
    </w:p>
    <w:p>
      <w:pPr>
        <w:pStyle w:val="24"/>
        <w:tabs>
          <w:tab w:val="left" w:pos="5633"/>
        </w:tabs>
        <w:spacing w:before="160" w:line="360" w:lineRule="auto"/>
        <w:rPr>
          <w:rFonts w:ascii="宋体" w:hAnsi="宋体" w:eastAsia="宋体"/>
          <w:sz w:val="24"/>
          <w:szCs w:val="24"/>
          <w:highlight w:val="none"/>
          <w:u w:val="single"/>
        </w:rPr>
      </w:pPr>
      <w:r>
        <w:rPr>
          <w:rFonts w:hint="eastAsia" w:ascii="宋体" w:hAnsi="宋体" w:eastAsia="宋体"/>
          <w:sz w:val="24"/>
          <w:szCs w:val="24"/>
          <w:highlight w:val="none"/>
        </w:rPr>
        <w:t>采购人（甲方）</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供应商（乙方）</w:t>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p>
    <w:p>
      <w:pPr>
        <w:pStyle w:val="24"/>
        <w:tabs>
          <w:tab w:val="left" w:pos="4913"/>
        </w:tabs>
        <w:spacing w:before="160" w:line="360" w:lineRule="auto"/>
        <w:rPr>
          <w:rFonts w:ascii="宋体" w:hAnsi="宋体" w:eastAsia="宋体"/>
          <w:sz w:val="24"/>
          <w:szCs w:val="24"/>
          <w:highlight w:val="none"/>
        </w:rPr>
      </w:pPr>
      <w:r>
        <w:rPr>
          <w:rFonts w:hint="eastAsia" w:ascii="宋体" w:hAnsi="宋体" w:eastAsia="宋体"/>
          <w:sz w:val="24"/>
          <w:szCs w:val="24"/>
          <w:highlight w:val="none"/>
        </w:rPr>
        <w:t>住所地：</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住所地：</w:t>
      </w:r>
    </w:p>
    <w:p>
      <w:pPr>
        <w:pStyle w:val="24"/>
        <w:spacing w:line="360" w:lineRule="auto"/>
        <w:rPr>
          <w:rFonts w:ascii="宋体" w:hAnsi="宋体" w:eastAsia="宋体"/>
          <w:sz w:val="24"/>
          <w:szCs w:val="24"/>
          <w:highlight w:val="none"/>
        </w:rPr>
      </w:pPr>
      <w:r>
        <w:rPr>
          <w:rFonts w:hint="eastAsia" w:ascii="宋体" w:hAnsi="宋体" w:eastAsia="宋体"/>
          <w:spacing w:val="-7"/>
          <w:sz w:val="24"/>
          <w:szCs w:val="24"/>
          <w:highlight w:val="none"/>
        </w:rPr>
        <w:t>根据《</w:t>
      </w:r>
      <w:r>
        <w:rPr>
          <w:rFonts w:ascii="宋体" w:hAnsi="宋体" w:eastAsia="宋体"/>
          <w:spacing w:val="-7"/>
          <w:sz w:val="24"/>
          <w:szCs w:val="24"/>
          <w:highlight w:val="none"/>
        </w:rPr>
        <w:t>中华人民共和国民法典</w:t>
      </w:r>
      <w:r>
        <w:rPr>
          <w:rFonts w:hint="eastAsia" w:ascii="宋体" w:hAnsi="宋体" w:eastAsia="宋体"/>
          <w:spacing w:val="-7"/>
          <w:sz w:val="24"/>
          <w:szCs w:val="24"/>
          <w:highlight w:val="none"/>
        </w:rPr>
        <w:t>》等相关法律法规的规</w:t>
      </w:r>
      <w:r>
        <w:rPr>
          <w:rFonts w:hint="eastAsia" w:ascii="宋体" w:hAnsi="宋体" w:eastAsia="宋体"/>
          <w:sz w:val="24"/>
          <w:szCs w:val="24"/>
          <w:highlight w:val="none"/>
        </w:rPr>
        <w:t>定，甲乙双方按照</w:t>
      </w:r>
      <w:r>
        <w:rPr>
          <w:rFonts w:hint="eastAsia" w:ascii="宋体" w:hAnsi="宋体" w:eastAsia="宋体"/>
          <w:b/>
          <w:sz w:val="24"/>
          <w:szCs w:val="24"/>
          <w:highlight w:val="none"/>
          <w:lang w:eastAsia="zh-CN"/>
        </w:rPr>
        <w:t>南京市卫生信息中心</w:t>
      </w:r>
      <w:r>
        <w:rPr>
          <w:rFonts w:hint="eastAsia" w:ascii="宋体" w:hAnsi="宋体" w:eastAsia="宋体"/>
          <w:sz w:val="24"/>
          <w:szCs w:val="24"/>
          <w:highlight w:val="none"/>
        </w:rPr>
        <w:t>的</w:t>
      </w:r>
      <w:r>
        <w:rPr>
          <w:rFonts w:hint="eastAsia" w:ascii="宋体" w:hAnsi="宋体" w:eastAsia="宋体"/>
          <w:sz w:val="24"/>
          <w:szCs w:val="24"/>
          <w:highlight w:val="none"/>
          <w:lang w:val="en-US"/>
        </w:rPr>
        <w:t>采购</w:t>
      </w:r>
      <w:r>
        <w:rPr>
          <w:rFonts w:hint="eastAsia" w:ascii="宋体" w:hAnsi="宋体" w:eastAsia="宋体"/>
          <w:sz w:val="24"/>
          <w:szCs w:val="24"/>
          <w:highlight w:val="none"/>
        </w:rPr>
        <w:t>结果签订本合同。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第一条 合同标的</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1、乙方根据甲方需求提供下列货物和服务：</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2、货物和服务名称、规格及数量详见乙方投标文件。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第二条 合同总价款</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1、本合同项下货物和服务总价款为</w:t>
      </w:r>
      <w:r>
        <w:rPr>
          <w:rFonts w:hint="eastAsia" w:ascii="宋体" w:hAnsi="宋体" w:eastAsia="宋体"/>
          <w:sz w:val="24"/>
          <w:szCs w:val="24"/>
          <w:highlight w:val="none"/>
        </w:rPr>
        <w:tab/>
      </w:r>
      <w:r>
        <w:rPr>
          <w:rFonts w:hint="eastAsia" w:ascii="宋体" w:hAnsi="宋体" w:eastAsia="宋体"/>
          <w:sz w:val="24"/>
          <w:szCs w:val="24"/>
          <w:highlight w:val="none"/>
        </w:rPr>
        <w:t>（大写）</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人民币，分项价款在乙方“</w:t>
      </w:r>
      <w:r>
        <w:rPr>
          <w:rFonts w:hint="eastAsia" w:ascii="宋体" w:hAnsi="宋体" w:eastAsia="宋体"/>
          <w:sz w:val="24"/>
          <w:szCs w:val="24"/>
          <w:highlight w:val="none"/>
          <w:lang w:val="en-US"/>
        </w:rPr>
        <w:t>响应</w:t>
      </w:r>
      <w:r>
        <w:rPr>
          <w:rFonts w:hint="eastAsia" w:ascii="宋体" w:hAnsi="宋体" w:eastAsia="宋体"/>
          <w:sz w:val="24"/>
          <w:szCs w:val="24"/>
          <w:highlight w:val="none"/>
        </w:rPr>
        <w:t>文件价格部分”中有明确规定。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3、本合同总价款还包含乙方应当提供的伴随服务/售后服务费用。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4、本合同执行期间合同总价款不变。</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第三条 组成本合同的有关文件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下列关于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1、乙方提供的投标文件和投标文件价格部分；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2、技术条款偏离表；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3、供货一览表；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4、交货一览表；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5、投标承诺/服务承诺；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6、中标通知书；</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7、甲乙双方商定的其他文件等。</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第四条 权利保证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第五条 质量保证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2、乙方提供的货物和服务质量应当符合采购文件的约定，以及乙方的承诺。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3、除特别说明外，质量保证期为自验收合格后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，在此期间，乙方提供免费质保服务。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第六条 交货和验收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1、乙方应当在合同签订后</w:t>
      </w:r>
      <w:r>
        <w:rPr>
          <w:rFonts w:hint="eastAsia" w:ascii="宋体" w:hAnsi="宋体" w:eastAsia="宋体"/>
          <w:sz w:val="24"/>
          <w:szCs w:val="24"/>
          <w:highlight w:val="none"/>
        </w:rPr>
        <w:tab/>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4、甲方可以邀请参加本项目的其他供应商或第三方专业机构及专家参与验收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第七条 伴随服务／售后服务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2、除前款规定外，乙方还应提供下列服务：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（1）货物和服务的现场安装、调试和/或启动监督；</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（2）就货物的安装、启动、运行及维护等对甲方人员进行免费培训。</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3、若采购文件中不包含有关伴随服务或售后服务的承诺，双方作如下约定：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3.2所购货物按乙方投标承诺提供免费维护和质量保证，保修费用计入总价。</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3.4货物故障报修的响应时间按乙方投标承诺执行。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3.7保修期后的货物维护由双方协商再定</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第八条 履约保证金</w:t>
      </w:r>
    </w:p>
    <w:p>
      <w:pPr>
        <w:pStyle w:val="24"/>
        <w:spacing w:line="360" w:lineRule="auto"/>
        <w:rPr>
          <w:rFonts w:ascii="宋体" w:hAnsi="宋体" w:eastAsia="宋体"/>
          <w:sz w:val="24"/>
          <w:szCs w:val="24"/>
          <w:highlight w:val="none"/>
          <w:lang w:val="en-US"/>
        </w:rPr>
      </w:pPr>
      <w:r>
        <w:rPr>
          <w:rFonts w:hint="eastAsia" w:ascii="宋体" w:hAnsi="宋体" w:eastAsia="宋体"/>
          <w:sz w:val="24"/>
          <w:szCs w:val="24"/>
          <w:highlight w:val="none"/>
        </w:rPr>
        <w:t>1、无</w:t>
      </w:r>
      <w:r>
        <w:rPr>
          <w:rFonts w:hint="eastAsia" w:ascii="宋体" w:hAnsi="宋体" w:eastAsia="宋体"/>
          <w:sz w:val="24"/>
          <w:szCs w:val="24"/>
          <w:highlight w:val="none"/>
          <w:lang w:val="en-US"/>
        </w:rPr>
        <w:t xml:space="preserve"> （若有，需填写）</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第九条 合同款支付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1、本合同项下所有款项均以人民币支付。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2、本合同项下的采购资金由甲方自行支付，乙方向甲方开具发票。</w:t>
      </w: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3、付款条件：</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（详见采购文件）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第十条违约责任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1、甲方无正当理由拒收货物、拒付货物款的，由甲方向乙方偿付合同总价的 5%违约金。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3、如乙方不能交付货物、完成安装调试的，乙方应向甲方支付合同总价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8、乙方在承担上述 4-6 款一项或多项违约责任后，仍应继续履行合同规定的义务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第十一条 项目履约验收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1、甲方有权对乙方项目实施执行过程及完成结果进行履约验收；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3、参与验收的供应商或者第三方机构的意见作为验收书的参考资料一并存档。</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第十二条 合同的变更和终止</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第十三条 合同的转让</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乙方不得擅自部分或全部转让其应履行的合同义务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第十四条 争议的解决</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（1）向甲方所在地有管辖权的人民法院提起诉讼；</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（2）向南京仲裁委员会按其仲裁规则申请仲裁。</w:t>
      </w:r>
      <w:r>
        <w:rPr>
          <w:rFonts w:hint="eastAsia" w:ascii="宋体" w:hAnsi="宋体" w:eastAsia="宋体"/>
          <w:spacing w:val="-5"/>
          <w:sz w:val="24"/>
          <w:szCs w:val="24"/>
          <w:highlight w:val="none"/>
        </w:rPr>
        <w:t xml:space="preserve">如没有约定，默认采取第 </w:t>
      </w:r>
      <w:r>
        <w:rPr>
          <w:rFonts w:hint="eastAsia" w:ascii="宋体" w:hAnsi="宋体" w:eastAsia="宋体"/>
          <w:sz w:val="24"/>
          <w:szCs w:val="24"/>
          <w:highlight w:val="none"/>
        </w:rPr>
        <w:t>2</w:t>
      </w:r>
      <w:r>
        <w:rPr>
          <w:rFonts w:hint="eastAsia" w:ascii="宋体" w:hAnsi="宋体" w:eastAsia="宋体"/>
          <w:spacing w:val="-8"/>
          <w:sz w:val="24"/>
          <w:szCs w:val="24"/>
          <w:highlight w:val="none"/>
        </w:rPr>
        <w:t xml:space="preserve">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3、在仲裁期间，本合同应继续履行。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第十五条 诚实信用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第十六条 合同生效及其他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1、本合同自签订之日起生效。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2、本合同一式</w:t>
      </w:r>
      <w:r>
        <w:rPr>
          <w:rFonts w:hint="eastAsia" w:ascii="宋体" w:hAnsi="宋体" w:eastAsia="宋体"/>
          <w:sz w:val="24"/>
          <w:szCs w:val="24"/>
          <w:highlight w:val="none"/>
          <w:lang w:val="en-US"/>
        </w:rPr>
        <w:t>肆</w:t>
      </w:r>
      <w:r>
        <w:rPr>
          <w:rFonts w:hint="eastAsia" w:ascii="宋体" w:hAnsi="宋体" w:eastAsia="宋体"/>
          <w:sz w:val="24"/>
          <w:szCs w:val="24"/>
          <w:highlight w:val="none"/>
        </w:rPr>
        <w:t>份，甲乙双方各执贰份。</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甲方（采购人）：（盖章）</w:t>
      </w:r>
      <w:r>
        <w:rPr>
          <w:rFonts w:hint="eastAsia" w:ascii="宋体" w:hAnsi="宋体" w:eastAsia="宋体"/>
          <w:sz w:val="24"/>
          <w:szCs w:val="24"/>
          <w:highlight w:val="none"/>
        </w:rPr>
        <w:tab/>
      </w:r>
      <w:r>
        <w:rPr>
          <w:rFonts w:hint="eastAsia" w:ascii="宋体" w:hAnsi="宋体" w:eastAsia="宋体"/>
          <w:sz w:val="24"/>
          <w:szCs w:val="24"/>
          <w:highlight w:val="none"/>
        </w:rPr>
        <w:t>乙方（供应商）：（盖章）</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代表人：</w:t>
      </w:r>
      <w:r>
        <w:rPr>
          <w:rFonts w:hint="eastAsia" w:ascii="宋体" w:hAnsi="宋体" w:eastAsia="宋体"/>
          <w:sz w:val="24"/>
          <w:szCs w:val="24"/>
          <w:highlight w:val="none"/>
        </w:rPr>
        <w:tab/>
      </w:r>
      <w:r>
        <w:rPr>
          <w:rFonts w:hint="eastAsia" w:ascii="宋体" w:hAnsi="宋体" w:eastAsia="宋体"/>
          <w:sz w:val="24"/>
          <w:szCs w:val="24"/>
          <w:highlight w:val="none"/>
        </w:rPr>
        <w:t>代表人：</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r>
        <w:rPr>
          <w:rFonts w:hint="eastAsia" w:ascii="宋体" w:hAnsi="宋体" w:eastAsia="宋体"/>
          <w:sz w:val="24"/>
          <w:szCs w:val="24"/>
          <w:highlight w:val="none"/>
        </w:rPr>
        <w:tab/>
      </w: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开户银行：</w:t>
      </w:r>
      <w:r>
        <w:rPr>
          <w:rFonts w:hint="eastAsia" w:ascii="宋体" w:hAnsi="宋体" w:eastAsia="宋体"/>
          <w:sz w:val="24"/>
          <w:szCs w:val="24"/>
          <w:highlight w:val="none"/>
        </w:rPr>
        <w:tab/>
      </w:r>
      <w:r>
        <w:rPr>
          <w:rFonts w:hint="eastAsia" w:ascii="宋体" w:hAnsi="宋体" w:eastAsia="宋体"/>
          <w:sz w:val="24"/>
          <w:szCs w:val="24"/>
          <w:highlight w:val="none"/>
        </w:rPr>
        <w:t>开户银行：</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r>
        <w:rPr>
          <w:rFonts w:hint="eastAsia" w:ascii="宋体" w:hAnsi="宋体" w:eastAsia="宋体"/>
          <w:sz w:val="24"/>
          <w:szCs w:val="24"/>
          <w:highlight w:val="none"/>
        </w:rPr>
        <w:tab/>
      </w: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日</w:t>
      </w:r>
      <w:r>
        <w:rPr>
          <w:rFonts w:hint="eastAsia" w:ascii="宋体" w:hAnsi="宋体" w:eastAsia="宋体"/>
          <w:sz w:val="24"/>
          <w:szCs w:val="24"/>
          <w:highlight w:val="none"/>
        </w:rPr>
        <w:tab/>
      </w:r>
      <w:r>
        <w:rPr>
          <w:rFonts w:hint="eastAsia" w:ascii="宋体" w:hAnsi="宋体" w:eastAsia="宋体"/>
          <w:sz w:val="24"/>
          <w:szCs w:val="24"/>
          <w:highlight w:val="none"/>
        </w:rPr>
        <w:t>期：</w:t>
      </w:r>
      <w:r>
        <w:rPr>
          <w:rFonts w:hint="eastAsia" w:ascii="宋体" w:hAnsi="宋体" w:eastAsia="宋体"/>
          <w:sz w:val="24"/>
          <w:szCs w:val="24"/>
          <w:highlight w:val="none"/>
        </w:rPr>
        <w:tab/>
      </w:r>
      <w:r>
        <w:rPr>
          <w:rFonts w:hint="eastAsia" w:ascii="宋体" w:hAnsi="宋体" w:eastAsia="宋体"/>
          <w:sz w:val="24"/>
          <w:szCs w:val="24"/>
          <w:highlight w:val="none"/>
        </w:rPr>
        <w:t>年</w:t>
      </w:r>
      <w:r>
        <w:rPr>
          <w:rFonts w:hint="eastAsia" w:ascii="宋体" w:hAnsi="宋体" w:eastAsia="宋体"/>
          <w:sz w:val="24"/>
          <w:szCs w:val="24"/>
          <w:highlight w:val="none"/>
        </w:rPr>
        <w:tab/>
      </w:r>
      <w:r>
        <w:rPr>
          <w:rFonts w:hint="eastAsia" w:ascii="宋体" w:hAnsi="宋体" w:eastAsia="宋体"/>
          <w:sz w:val="24"/>
          <w:szCs w:val="24"/>
          <w:highlight w:val="none"/>
        </w:rPr>
        <w:t>月</w:t>
      </w:r>
      <w:r>
        <w:rPr>
          <w:rFonts w:hint="eastAsia" w:ascii="宋体" w:hAnsi="宋体" w:eastAsia="宋体"/>
          <w:sz w:val="24"/>
          <w:szCs w:val="24"/>
          <w:highlight w:val="none"/>
        </w:rPr>
        <w:tab/>
      </w:r>
      <w:r>
        <w:rPr>
          <w:rFonts w:hint="eastAsia" w:ascii="宋体" w:hAnsi="宋体" w:eastAsia="宋体"/>
          <w:sz w:val="24"/>
          <w:szCs w:val="24"/>
          <w:highlight w:val="none"/>
        </w:rPr>
        <w:t>日</w:t>
      </w:r>
      <w:bookmarkStart w:id="3" w:name="_bookmark0"/>
      <w:bookmarkEnd w:id="3"/>
    </w:p>
    <w:p>
      <w:pPr>
        <w:widowControl/>
        <w:adjustRightInd w:val="0"/>
        <w:jc w:val="left"/>
        <w:rPr>
          <w:rFonts w:ascii="宋体" w:hAnsi="宋体" w:eastAsia="宋体"/>
          <w:szCs w:val="21"/>
          <w:highlight w:val="none"/>
        </w:rPr>
      </w:pPr>
    </w:p>
    <w:p>
      <w:pPr>
        <w:keepNext w:val="0"/>
        <w:tabs>
          <w:tab w:val="left" w:pos="4731"/>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第六章  响应文件格式</w:t>
      </w:r>
      <w:bookmarkEnd w:id="4"/>
    </w:p>
    <w:p>
      <w:pPr>
        <w:pStyle w:val="4"/>
        <w:spacing w:before="210" w:after="3"/>
        <w:ind w:left="7"/>
        <w:jc w:val="center"/>
        <w:rPr>
          <w:highlight w:val="none"/>
        </w:rPr>
      </w:pPr>
      <w:r>
        <w:rPr>
          <w:rFonts w:hint="eastAsia"/>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783"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rFonts w:hint="eastAsia" w:ascii="宋体" w:hAnsi="宋体" w:eastAsia="宋体" w:cs="宋体"/>
          <w:bCs/>
          <w:sz w:val="24"/>
          <w:highlight w:val="none"/>
          <w:lang w:val="ja-JP" w:eastAsia="ja-JP" w:bidi="ja-JP"/>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对于投标文件中有任意一条不满足上表要求的将导致其投标无效，不进入下一项评审。</w:t>
      </w:r>
    </w:p>
    <w:p>
      <w:pPr>
        <w:rPr>
          <w:highlight w:val="none"/>
        </w:rPr>
      </w:pPr>
    </w:p>
    <w:p>
      <w:pPr>
        <w:spacing w:line="360" w:lineRule="auto"/>
        <w:jc w:val="right"/>
        <w:rPr>
          <w:rFonts w:ascii="黑体" w:hAnsi="宋体" w:eastAsia="黑体"/>
          <w:sz w:val="32"/>
          <w:szCs w:val="32"/>
          <w:highlight w:val="none"/>
        </w:rPr>
      </w:pPr>
    </w:p>
    <w:p>
      <w:pPr>
        <w:spacing w:before="55"/>
        <w:ind w:right="616"/>
        <w:jc w:val="right"/>
        <w:rPr>
          <w:rFonts w:ascii="黑体" w:eastAsia="黑体"/>
          <w:w w:val="95"/>
          <w:sz w:val="32"/>
          <w:highlight w:val="none"/>
        </w:rPr>
      </w:pPr>
    </w:p>
    <w:p>
      <w:pPr>
        <w:spacing w:before="55"/>
        <w:ind w:right="616"/>
        <w:jc w:val="right"/>
        <w:rPr>
          <w:rFonts w:ascii="黑体" w:eastAsia="黑体"/>
          <w:w w:val="95"/>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3"/>
          <w:highlight w:val="none"/>
        </w:rPr>
      </w:pPr>
    </w:p>
    <w:p>
      <w:pPr>
        <w:ind w:firstLine="3520" w:firstLineChars="1100"/>
        <w:rPr>
          <w:rFonts w:ascii="黑体" w:eastAsia="黑体"/>
          <w:sz w:val="32"/>
          <w:highlight w:val="none"/>
        </w:rPr>
      </w:pPr>
    </w:p>
    <w:p>
      <w:pPr>
        <w:ind w:firstLine="3520" w:firstLineChars="1100"/>
        <w:rPr>
          <w:rFonts w:ascii="黑体" w:eastAsia="黑体"/>
          <w:sz w:val="32"/>
          <w:highlight w:val="none"/>
        </w:rPr>
      </w:pPr>
    </w:p>
    <w:p>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spacing w:before="9"/>
        <w:rPr>
          <w:rFonts w:ascii="黑体"/>
          <w:sz w:val="59"/>
          <w:highlight w:val="none"/>
        </w:rPr>
      </w:pPr>
    </w:p>
    <w:p>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spacing w:val="1"/>
          <w:w w:val="66"/>
          <w:kern w:val="0"/>
          <w:sz w:val="32"/>
          <w:szCs w:val="32"/>
          <w:highlight w:val="none"/>
          <w:fitText w:val="1280" w:id="1127958658"/>
        </w:rPr>
        <w:t>（单位公章</w:t>
      </w:r>
      <w:r>
        <w:rPr>
          <w:rFonts w:hint="eastAsia" w:ascii="黑体" w:hAnsi="黑体" w:eastAsia="黑体" w:cs="微软雅黑"/>
          <w:spacing w:val="4"/>
          <w:w w:val="66"/>
          <w:kern w:val="0"/>
          <w:sz w:val="32"/>
          <w:szCs w:val="32"/>
          <w:highlight w:val="none"/>
          <w:fitText w:val="1280" w:id="1127958658"/>
        </w:rPr>
        <w:t>）</w:t>
      </w:r>
    </w:p>
    <w:p>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pPr>
        <w:spacing w:before="1"/>
        <w:ind w:right="1"/>
        <w:rPr>
          <w:rFonts w:ascii="黑体" w:eastAsia="黑体"/>
          <w:sz w:val="72"/>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三、第一章询比邀请4.1供应商应具备的基本条件的证明文件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四、第一章询比邀请4.2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、《南京市政府采购供应商信用记录表暨信用承诺书》</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pStyle w:val="2"/>
        <w:rPr>
          <w:highlight w:val="none"/>
        </w:rPr>
      </w:pPr>
    </w:p>
    <w:p>
      <w:pPr>
        <w:pStyle w:val="2"/>
        <w:rPr>
          <w:highlight w:val="none"/>
        </w:rPr>
      </w:pP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pStyle w:val="2"/>
        <w:rPr>
          <w:highlight w:val="none"/>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pPr>
        <w:pStyle w:val="2"/>
        <w:rPr>
          <w:highlight w:val="none"/>
        </w:rPr>
      </w:pP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rPr>
          <w:bCs/>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hint="eastAsia" w:ascii="宋体" w:hAnsi="宋体" w:eastAsia="宋体"/>
          <w:b/>
          <w:sz w:val="24"/>
          <w:szCs w:val="24"/>
          <w:highlight w:val="none"/>
        </w:rPr>
      </w:pP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pStyle w:val="2"/>
        <w:rPr>
          <w:highlight w:val="none"/>
        </w:rPr>
      </w:pPr>
    </w:p>
    <w:p>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bidi w:val="0"/>
        <w:rPr>
          <w:rFonts w:hint="eastAsia"/>
          <w:highlight w:val="none"/>
          <w:lang w:val="ja-JP" w:eastAsia="ja-JP"/>
        </w:rPr>
      </w:pPr>
    </w:p>
    <w:p>
      <w:pPr>
        <w:pStyle w:val="5"/>
        <w:keepNext w:val="0"/>
        <w:keepLines w:val="0"/>
        <w:tabs>
          <w:tab w:val="left" w:pos="1760"/>
        </w:tabs>
        <w:wordWrap/>
        <w:autoSpaceDE w:val="0"/>
        <w:autoSpaceDN w:val="0"/>
        <w:spacing w:line="360" w:lineRule="auto"/>
        <w:jc w:val="both"/>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在线打印其“南京市政府采购供应商信用记录表暨信用承诺书”，</w:t>
      </w:r>
      <w:r>
        <w:rPr>
          <w:rFonts w:hint="eastAsia" w:ascii="宋体" w:hAnsi="宋体" w:eastAsia="宋体"/>
          <w:b/>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highlight w:val="none"/>
        </w:rPr>
        <w:t>。</w:t>
      </w:r>
    </w:p>
    <w:p>
      <w:pPr>
        <w:pStyle w:val="215"/>
        <w:bidi w:val="0"/>
        <w:rPr>
          <w:rFonts w:hint="eastAsia"/>
          <w:highlight w:val="none"/>
          <w:lang w:val="en-US"/>
        </w:rPr>
      </w:pPr>
    </w:p>
    <w:p>
      <w:pPr>
        <w:pStyle w:val="273"/>
        <w:autoSpaceDE w:val="0"/>
        <w:autoSpaceDN w:val="0"/>
        <w:spacing w:line="360" w:lineRule="auto"/>
        <w:ind w:firstLine="0" w:firstLineChars="0"/>
        <w:jc w:val="both"/>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4"/>
        <w:rPr>
          <w:rFonts w:ascii="黑体"/>
          <w:sz w:val="32"/>
          <w:highlight w:val="none"/>
        </w:rPr>
      </w:pPr>
    </w:p>
    <w:p>
      <w:pPr>
        <w:pStyle w:val="24"/>
        <w:spacing w:before="11"/>
        <w:rPr>
          <w:rFonts w:ascii="黑体"/>
          <w:sz w:val="35"/>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pPr>
        <w:pStyle w:val="273"/>
        <w:autoSpaceDE w:val="0"/>
        <w:autoSpaceDN w:val="0"/>
        <w:spacing w:line="360" w:lineRule="auto"/>
        <w:ind w:firstLine="0" w:firstLineChars="0"/>
        <w:rPr>
          <w:bCs/>
          <w:sz w:val="24"/>
          <w:highlight w:val="none"/>
          <w:lang w:val="en-US"/>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技术条款偏离表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、询比项目主要产品一览表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 供货一览表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五、</w:t>
      </w:r>
      <w:r>
        <w:rPr>
          <w:rFonts w:hint="eastAsia" w:ascii="宋体" w:hAnsi="宋体" w:eastAsia="宋体"/>
          <w:sz w:val="21"/>
          <w:szCs w:val="22"/>
          <w:highlight w:val="none"/>
          <w:lang w:bidi="zh-CN"/>
        </w:rPr>
        <w:t>项目实施</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六、其他</w:t>
      </w:r>
      <w:r>
        <w:rPr>
          <w:rFonts w:hint="eastAsia" w:ascii="宋体" w:hAnsi="宋体" w:eastAsia="宋体"/>
          <w:sz w:val="21"/>
          <w:szCs w:val="22"/>
          <w:highlight w:val="none"/>
          <w:lang w:bidi="zh-CN"/>
        </w:rPr>
        <w:t>表格</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w:t>
      </w:r>
      <w:r>
        <w:rPr>
          <w:rFonts w:hint="eastAsia" w:ascii="宋体" w:hAnsi="宋体" w:eastAsia="宋体"/>
          <w:b/>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bidi w:val="0"/>
        <w:rPr>
          <w:rFonts w:hint="eastAsia"/>
          <w:highlight w:val="none"/>
          <w:lang w:val="en-US"/>
        </w:rPr>
      </w:pPr>
    </w:p>
    <w:p>
      <w:pPr>
        <w:bidi w:val="0"/>
        <w:rPr>
          <w:rFonts w:hint="eastAsia"/>
          <w:highlight w:val="none"/>
          <w:lang w:val="en-US"/>
        </w:rPr>
      </w:pPr>
    </w:p>
    <w:p>
      <w:pPr>
        <w:bidi w:val="0"/>
        <w:rPr>
          <w:rFonts w:hint="eastAsia"/>
          <w:highlight w:val="none"/>
          <w:lang w:val="en-US"/>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三、</w:t>
      </w:r>
      <w:r>
        <w:rPr>
          <w:rFonts w:hint="eastAsia" w:ascii="宋体" w:hAnsi="宋体" w:eastAsia="宋体"/>
          <w:b/>
          <w:sz w:val="24"/>
          <w:szCs w:val="24"/>
          <w:highlight w:val="none"/>
        </w:rPr>
        <w:t>询比项目主要产品一览表</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lang w:val="en-US"/>
              </w:rPr>
            </w:pPr>
            <w:r>
              <w:rPr>
                <w:rFonts w:hint="eastAsia" w:ascii="宋体" w:hAnsi="宋体" w:eastAsia="宋体"/>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rPr>
          <w:rFonts w:ascii="宋体" w:hAnsi="宋体" w:eastAsia="宋体"/>
          <w:sz w:val="24"/>
          <w:szCs w:val="24"/>
          <w:highlight w:val="none"/>
        </w:rPr>
      </w:pPr>
    </w:p>
    <w:p>
      <w:pPr>
        <w:widowControl/>
        <w:adjustRightInd w:val="0"/>
        <w:spacing w:line="360" w:lineRule="auto"/>
        <w:ind w:firstLine="480" w:firstLineChars="200"/>
        <w:jc w:val="left"/>
        <w:rPr>
          <w:highlight w:val="none"/>
        </w:rPr>
      </w:pPr>
      <w:r>
        <w:rPr>
          <w:rFonts w:hint="eastAsia" w:ascii="宋体" w:hAnsi="宋体" w:eastAsia="宋体"/>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四、</w:t>
      </w:r>
      <w:r>
        <w:rPr>
          <w:rFonts w:hint="eastAsia" w:ascii="宋体" w:hAnsi="宋体" w:eastAsia="宋体"/>
          <w:b/>
          <w:sz w:val="24"/>
          <w:szCs w:val="24"/>
          <w:highlight w:val="none"/>
        </w:rPr>
        <w:t>供货一览表</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tabs>
          <w:tab w:val="left" w:pos="1760"/>
        </w:tabs>
        <w:autoSpaceDE w:val="0"/>
        <w:autoSpaceDN w:val="0"/>
        <w:spacing w:before="123" w:line="360" w:lineRule="auto"/>
        <w:jc w:val="center"/>
        <w:rPr>
          <w:bCs/>
          <w:sz w:val="24"/>
          <w:highlight w:val="none"/>
          <w:lang w:val="ja-JP" w:eastAsia="ja-JP"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both"/>
        <w:rPr>
          <w:rFonts w:cs="宋体"/>
          <w:bCs/>
          <w:kern w:val="0"/>
          <w:sz w:val="24"/>
          <w:highlight w:val="none"/>
          <w:lang w:val="ja-JP" w:eastAsia="ja-JP" w:bidi="ja-JP"/>
        </w:rPr>
      </w:pPr>
      <w:r>
        <w:rPr>
          <w:rFonts w:hint="eastAsia" w:cs="宋体"/>
          <w:bCs/>
          <w:kern w:val="0"/>
          <w:sz w:val="24"/>
          <w:highlight w:val="none"/>
          <w:lang w:val="en-US" w:bidi="ja-JP"/>
        </w:rPr>
        <w:t>五、</w:t>
      </w:r>
      <w:r>
        <w:rPr>
          <w:rFonts w:hint="eastAsia" w:cs="宋体"/>
          <w:bCs/>
          <w:kern w:val="0"/>
          <w:sz w:val="24"/>
          <w:highlight w:val="none"/>
          <w:lang w:val="ja-JP" w:eastAsia="ja-JP" w:bidi="ja-JP"/>
        </w:rPr>
        <w:t>项目实施</w:t>
      </w:r>
    </w:p>
    <w:p>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pPr>
        <w:pStyle w:val="5"/>
        <w:keepNext w:val="0"/>
        <w:keepLines w:val="0"/>
        <w:tabs>
          <w:tab w:val="left" w:pos="1760"/>
        </w:tabs>
        <w:autoSpaceDE w:val="0"/>
        <w:autoSpaceDN w:val="0"/>
        <w:spacing w:before="123" w:line="360" w:lineRule="auto"/>
        <w:jc w:val="both"/>
        <w:rPr>
          <w:b w:val="0"/>
          <w:bCs/>
          <w:sz w:val="24"/>
          <w:highlight w:val="none"/>
        </w:rPr>
      </w:pPr>
      <w:r>
        <w:rPr>
          <w:rFonts w:hint="eastAsia" w:cs="宋体"/>
          <w:bCs/>
          <w:kern w:val="0"/>
          <w:sz w:val="24"/>
          <w:highlight w:val="none"/>
          <w:lang w:val="en-US" w:bidi="ja-JP"/>
        </w:rPr>
        <w:t>六</w:t>
      </w:r>
      <w:r>
        <w:rPr>
          <w:rFonts w:hint="eastAsia" w:cs="宋体"/>
          <w:bCs/>
          <w:kern w:val="0"/>
          <w:sz w:val="24"/>
          <w:highlight w:val="none"/>
          <w:lang w:val="ja-JP" w:eastAsia="ja-JP" w:bidi="ja-JP"/>
        </w:rPr>
        <w:t>、</w:t>
      </w:r>
      <w:r>
        <w:rPr>
          <w:rFonts w:hint="eastAsia" w:cs="宋体"/>
          <w:bCs/>
          <w:kern w:val="0"/>
          <w:sz w:val="24"/>
          <w:highlight w:val="none"/>
          <w:lang w:val="en-US" w:bidi="ja-JP"/>
        </w:rPr>
        <w:t>其他</w:t>
      </w:r>
      <w:r>
        <w:rPr>
          <w:rFonts w:hint="eastAsia" w:cs="宋体"/>
          <w:bCs/>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一）</w:t>
      </w:r>
      <w:r>
        <w:rPr>
          <w:rFonts w:hint="eastAsia" w:ascii="宋体" w:hAnsi="宋体" w:eastAsia="宋体"/>
          <w:b/>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二</w:t>
      </w:r>
      <w:r>
        <w:rPr>
          <w:rFonts w:hint="eastAsia" w:ascii="宋体" w:hAnsi="宋体" w:eastAsia="宋体"/>
          <w:b/>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三</w:t>
      </w:r>
      <w:r>
        <w:rPr>
          <w:rFonts w:hint="eastAsia" w:ascii="宋体" w:hAnsi="宋体" w:eastAsia="宋体"/>
          <w:b/>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spacing w:before="55"/>
        <w:ind w:right="616"/>
        <w:jc w:val="right"/>
        <w:rPr>
          <w:rFonts w:ascii="黑体" w:eastAsia="黑体"/>
          <w:w w:val="95"/>
          <w:sz w:val="32"/>
          <w:highlight w:val="none"/>
        </w:rPr>
      </w:pPr>
    </w:p>
    <w:p>
      <w:pPr>
        <w:pStyle w:val="24"/>
        <w:rPr>
          <w:rFonts w:ascii="黑体"/>
          <w:sz w:val="32"/>
          <w:highlight w:val="none"/>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
        <w:rPr>
          <w:highlight w:val="none"/>
        </w:rPr>
      </w:pPr>
    </w:p>
    <w:p>
      <w:pPr>
        <w:rPr>
          <w:highlight w:val="none"/>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numPr>
          <w:ilvl w:val="0"/>
          <w:numId w:val="24"/>
        </w:numPr>
        <w:autoSpaceDE w:val="0"/>
        <w:autoSpaceDN w:val="0"/>
        <w:spacing w:line="360" w:lineRule="auto"/>
        <w:ind w:firstLine="0" w:firstLineChars="0"/>
        <w:jc w:val="left"/>
        <w:outlineLvl w:val="2"/>
        <w:rPr>
          <w:rFonts w:eastAsia="宋体"/>
          <w:b/>
          <w:sz w:val="24"/>
          <w:highlight w:val="none"/>
          <w:lang w:val="en-US" w:bidi="ja-JP"/>
        </w:rPr>
      </w:pP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73"/>
        <w:autoSpaceDE w:val="0"/>
        <w:autoSpaceDN w:val="0"/>
        <w:spacing w:line="360" w:lineRule="auto"/>
        <w:ind w:firstLine="0" w:firstLineChars="0"/>
        <w:jc w:val="left"/>
        <w:rPr>
          <w:rFonts w:eastAsia="宋体"/>
          <w:b/>
          <w:sz w:val="24"/>
          <w:highlight w:val="none"/>
          <w:lang w:val="en-US" w:bidi="ja-JP"/>
        </w:rPr>
      </w:pPr>
    </w:p>
    <w:p>
      <w:pPr>
        <w:pStyle w:val="273"/>
        <w:autoSpaceDE w:val="0"/>
        <w:autoSpaceDN w:val="0"/>
        <w:spacing w:line="360" w:lineRule="auto"/>
        <w:ind w:firstLine="0" w:firstLineChars="0"/>
        <w:jc w:val="left"/>
        <w:outlineLvl w:val="2"/>
        <w:rPr>
          <w:rFonts w:ascii="宋体" w:hAnsi="宋体" w:eastAsia="宋体"/>
          <w:b/>
          <w:sz w:val="24"/>
          <w:highlight w:val="none"/>
          <w:lang w:val="en-US" w:bidi="ja-JP"/>
        </w:rPr>
      </w:pPr>
      <w:r>
        <w:rPr>
          <w:rFonts w:hint="eastAsia" w:eastAsia="宋体"/>
          <w:b/>
          <w:sz w:val="24"/>
          <w:highlight w:val="none"/>
          <w:lang w:val="en-US" w:bidi="ja-JP"/>
        </w:rPr>
        <w:t>二</w:t>
      </w:r>
      <w:r>
        <w:rPr>
          <w:rFonts w:hint="eastAsia"/>
          <w:b/>
          <w:sz w:val="24"/>
          <w:highlight w:val="none"/>
          <w:lang w:val="ja-JP" w:eastAsia="ja-JP" w:bidi="ja-JP"/>
        </w:rPr>
        <w:t>、《</w:t>
      </w:r>
      <w:r>
        <w:rPr>
          <w:rFonts w:hint="eastAsia" w:eastAsia="宋体"/>
          <w:b/>
          <w:sz w:val="24"/>
          <w:highlight w:val="none"/>
          <w:lang w:val="en-US" w:bidi="ja-JP"/>
        </w:rPr>
        <w:t>分项</w:t>
      </w: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
        <w:ind w:left="0"/>
        <w:jc w:val="center"/>
        <w:rPr>
          <w:rFonts w:ascii="宋体" w:hAnsi="宋体" w:eastAsia="宋体"/>
          <w:b/>
          <w:sz w:val="24"/>
          <w:szCs w:val="24"/>
          <w:highlight w:val="none"/>
          <w:lang w:val="en-US" w:bidi="ja-JP"/>
        </w:rPr>
      </w:pPr>
    </w:p>
    <w:p>
      <w:pPr>
        <w:pStyle w:val="2"/>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三、报价部分其他材料（</w:t>
      </w:r>
      <w:r>
        <w:rPr>
          <w:rFonts w:hint="eastAsia"/>
          <w:sz w:val="21"/>
          <w:szCs w:val="21"/>
          <w:highlight w:val="none"/>
        </w:rPr>
        <w:t>享受小微企业、残疾人福利性单位、监狱企业、节能产品、环境标志产品政策优惠的，应在投标系统上传证明材料，</w:t>
      </w:r>
      <w:r>
        <w:rPr>
          <w:rFonts w:hint="eastAsia"/>
          <w:b/>
          <w:bCs/>
          <w:sz w:val="21"/>
          <w:szCs w:val="21"/>
          <w:highlight w:val="none"/>
        </w:rPr>
        <w:t>未上传证明材料的将不予认可</w:t>
      </w:r>
      <w:r>
        <w:rPr>
          <w:rFonts w:hint="eastAsia" w:ascii="宋体" w:hAnsi="宋体" w:eastAsia="宋体"/>
          <w:b/>
          <w:sz w:val="24"/>
          <w:szCs w:val="24"/>
          <w:highlight w:val="none"/>
          <w:lang w:val="en-US" w:bidi="ja-JP"/>
        </w:rPr>
        <w:t>）</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pStyle w:val="24"/>
        <w:tabs>
          <w:tab w:val="left" w:pos="7098"/>
        </w:tabs>
        <w:spacing w:line="560" w:lineRule="exact"/>
        <w:jc w:val="center"/>
        <w:rPr>
          <w:rFonts w:ascii="宋体" w:hAnsi="宋体" w:eastAsia="宋体"/>
          <w:b/>
          <w:bCs/>
          <w:sz w:val="24"/>
          <w:szCs w:val="24"/>
          <w:highlight w:val="none"/>
        </w:rPr>
      </w:pPr>
      <w:bookmarkStart w:id="5" w:name="_Hlk66863893"/>
      <w:r>
        <w:rPr>
          <w:rFonts w:hint="eastAsia" w:ascii="宋体" w:hAnsi="宋体" w:eastAsia="宋体"/>
          <w:b/>
          <w:bCs/>
          <w:sz w:val="24"/>
          <w:szCs w:val="24"/>
          <w:highlight w:val="none"/>
        </w:rPr>
        <w:t>中小企业声明函（货物）</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 （联合体）参加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 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（中型企业、小型 企业、微型企业）</w:t>
      </w:r>
      <w:r>
        <w:rPr>
          <w:rFonts w:ascii="宋体" w:hAnsi="宋体" w:eastAsia="宋体"/>
          <w:sz w:val="24"/>
          <w:szCs w:val="24"/>
          <w:highlight w:val="none"/>
        </w:rPr>
        <w:t>；</w:t>
      </w:r>
    </w:p>
    <w:p>
      <w:pPr>
        <w:pStyle w:val="24"/>
        <w:tabs>
          <w:tab w:val="left" w:pos="7098"/>
        </w:tabs>
        <w:spacing w:line="560" w:lineRule="exact"/>
        <w:rPr>
          <w:rFonts w:ascii="宋体" w:hAnsi="宋体" w:eastAsia="宋体"/>
          <w:sz w:val="24"/>
          <w:szCs w:val="24"/>
          <w:highlight w:val="none"/>
        </w:rPr>
      </w:pP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highlight w:val="none"/>
        </w:rPr>
      </w:pPr>
    </w:p>
    <w:p>
      <w:pPr>
        <w:pStyle w:val="24"/>
        <w:tabs>
          <w:tab w:val="left" w:pos="7098"/>
        </w:tabs>
        <w:spacing w:line="56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中小企业声明函（工程、服务）</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万元，属</w:t>
      </w:r>
      <w:r>
        <w:rPr>
          <w:rFonts w:hint="eastAsia" w:ascii="宋体" w:hAnsi="宋体" w:eastAsia="宋体"/>
          <w:sz w:val="24"/>
          <w:szCs w:val="24"/>
          <w:highlight w:val="none"/>
        </w:rPr>
        <w:t>于</w:t>
      </w:r>
      <w:r>
        <w:rPr>
          <w:rFonts w:hint="eastAsia" w:ascii="宋体" w:hAnsi="宋体" w:eastAsia="宋体"/>
          <w:sz w:val="24"/>
          <w:szCs w:val="24"/>
          <w:highlight w:val="none"/>
          <w:u w:val="single"/>
        </w:rPr>
        <w:t>（中型企业、</w:t>
      </w:r>
      <w:r>
        <w:rPr>
          <w:rFonts w:ascii="宋体" w:hAnsi="宋体" w:eastAsia="宋体"/>
          <w:sz w:val="24"/>
          <w:szCs w:val="24"/>
          <w:highlight w:val="none"/>
          <w:u w:val="single"/>
        </w:rPr>
        <w:t xml:space="preserve">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 ……</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bookmarkEnd w:id="5"/>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pPr>
        <w:rPr>
          <w:highlight w:val="none"/>
          <w:lang w:val="en-US"/>
        </w:rPr>
      </w:pPr>
    </w:p>
    <w:p>
      <w:pPr>
        <w:pStyle w:val="2"/>
        <w:rPr>
          <w:highlight w:val="none"/>
          <w:lang w:val="en-US"/>
        </w:rPr>
      </w:pPr>
    </w:p>
    <w:p>
      <w:pPr>
        <w:rPr>
          <w:highlight w:val="none"/>
          <w:lang w:val="en-US"/>
        </w:rPr>
      </w:pPr>
    </w:p>
    <w:p>
      <w:pPr>
        <w:pStyle w:val="2"/>
        <w:rPr>
          <w:highlight w:val="none"/>
          <w:lang w:val="en-US"/>
        </w:rPr>
      </w:pPr>
    </w:p>
    <w:p>
      <w:pPr>
        <w:rPr>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pPr>
        <w:spacing w:line="360" w:lineRule="auto"/>
        <w:jc w:val="left"/>
        <w:rPr>
          <w:bCs/>
          <w:sz w:val="24"/>
          <w:highlight w:val="none"/>
          <w:lang w:val="ja-JP" w:bidi="ja-JP"/>
        </w:rPr>
      </w:pPr>
      <w:r>
        <w:rPr>
          <w:rFonts w:hint="eastAsia" w:ascii="宋体" w:hAnsi="宋体" w:eastAsia="宋体"/>
          <w:sz w:val="24"/>
          <w:szCs w:val="24"/>
          <w:highlight w:val="none"/>
        </w:rPr>
        <w:t>供应商在</w:t>
      </w:r>
      <w:r>
        <w:rPr>
          <w:rFonts w:hint="eastAsia" w:ascii="宋体" w:hAnsi="宋体" w:eastAsia="宋体"/>
          <w:sz w:val="24"/>
          <w:szCs w:val="24"/>
          <w:highlight w:val="none"/>
          <w:lang w:eastAsia="zh-CN"/>
        </w:rPr>
        <w:t>投标</w:t>
      </w:r>
      <w:r>
        <w:rPr>
          <w:rFonts w:hint="eastAsia" w:ascii="宋体" w:hAnsi="宋体" w:eastAsia="宋体"/>
          <w:sz w:val="24"/>
          <w:szCs w:val="24"/>
          <w:highlight w:val="none"/>
        </w:rPr>
        <w:t>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pPr>
        <w:pStyle w:val="2"/>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highlight w:val="none"/>
        </w:rPr>
      </w:pPr>
      <w:bookmarkStart w:id="6" w:name="_Toc476153619"/>
      <w:r>
        <w:rPr>
          <w:rFonts w:hint="eastAsia" w:ascii="仿宋" w:hAnsi="仿宋" w:eastAsia="仿宋" w:cs="Times New Roman"/>
          <w:b/>
          <w:sz w:val="30"/>
          <w:szCs w:val="30"/>
          <w:highlight w:val="none"/>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pPr>
        <w:pStyle w:val="2"/>
        <w:rPr>
          <w:highlight w:val="none"/>
        </w:rPr>
      </w:pPr>
    </w:p>
    <w:p>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ˎ̥">
    <w:altName w:val="华光中圆_CNKI"/>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rPr>
      <w:t>都市圈慢病防控云平台维保项目询比文件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11F85"/>
    <w:multiLevelType w:val="multilevel"/>
    <w:tmpl w:val="96011F85"/>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E329B6C8"/>
    <w:multiLevelType w:val="singleLevel"/>
    <w:tmpl w:val="E329B6C8"/>
    <w:lvl w:ilvl="0" w:tentative="0">
      <w:start w:val="1"/>
      <w:numFmt w:val="decimal"/>
      <w:lvlText w:val="(%1)"/>
      <w:lvlJc w:val="left"/>
      <w:pPr>
        <w:tabs>
          <w:tab w:val="left" w:pos="312"/>
        </w:tabs>
      </w:pPr>
    </w:lvl>
  </w:abstractNum>
  <w:abstractNum w:abstractNumId="5">
    <w:nsid w:val="E86D97A4"/>
    <w:multiLevelType w:val="singleLevel"/>
    <w:tmpl w:val="E86D97A4"/>
    <w:lvl w:ilvl="0" w:tentative="0">
      <w:start w:val="1"/>
      <w:numFmt w:val="decimal"/>
      <w:lvlText w:val="(%1)"/>
      <w:lvlJc w:val="left"/>
      <w:pPr>
        <w:ind w:left="425" w:hanging="425"/>
      </w:pPr>
      <w:rPr>
        <w:rFonts w:hint="default"/>
      </w:rPr>
    </w:lvl>
  </w:abstractNum>
  <w:abstractNum w:abstractNumId="6">
    <w:nsid w:val="018005A3"/>
    <w:multiLevelType w:val="multilevel"/>
    <w:tmpl w:val="018005A3"/>
    <w:lvl w:ilvl="0" w:tentative="0">
      <w:start w:val="1"/>
      <w:numFmt w:val="decimal"/>
      <w:lvlText w:val="%1."/>
      <w:lvlJc w:val="left"/>
      <w:pPr>
        <w:ind w:left="107" w:hanging="222"/>
      </w:pPr>
      <w:rPr>
        <w:rFonts w:hint="default" w:ascii="宋体" w:hAnsi="宋体" w:eastAsia="宋体" w:cs="宋体"/>
        <w:spacing w:val="-58"/>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4" w:hanging="222"/>
      </w:pPr>
      <w:rPr>
        <w:rFonts w:hint="default"/>
        <w:lang w:val="zh-CN" w:eastAsia="zh-CN" w:bidi="zh-CN"/>
      </w:rPr>
    </w:lvl>
    <w:lvl w:ilvl="8" w:tentative="0">
      <w:start w:val="0"/>
      <w:numFmt w:val="bullet"/>
      <w:lvlText w:val="•"/>
      <w:lvlJc w:val="left"/>
      <w:pPr>
        <w:ind w:left="5636" w:hanging="222"/>
      </w:pPr>
      <w:rPr>
        <w:rFonts w:hint="default"/>
        <w:lang w:val="zh-CN" w:eastAsia="zh-CN" w:bidi="zh-CN"/>
      </w:rPr>
    </w:lvl>
  </w:abstractNum>
  <w:abstractNum w:abstractNumId="7">
    <w:nsid w:val="01AC307E"/>
    <w:multiLevelType w:val="singleLevel"/>
    <w:tmpl w:val="01AC307E"/>
    <w:lvl w:ilvl="0" w:tentative="0">
      <w:start w:val="2"/>
      <w:numFmt w:val="chineseCounting"/>
      <w:suff w:val="space"/>
      <w:lvlText w:val="第%1章"/>
      <w:lvlJc w:val="left"/>
      <w:rPr>
        <w:rFonts w:hint="eastAsia"/>
      </w:rPr>
    </w:lvl>
  </w:abstractNum>
  <w:abstractNum w:abstractNumId="8">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5CC6F39"/>
    <w:multiLevelType w:val="multilevel"/>
    <w:tmpl w:val="25CC6F39"/>
    <w:lvl w:ilvl="0" w:tentative="0">
      <w:start w:val="1"/>
      <w:numFmt w:val="decimal"/>
      <w:lvlText w:val="%1."/>
      <w:lvlJc w:val="left"/>
      <w:pPr>
        <w:ind w:left="107" w:hanging="222"/>
      </w:pPr>
      <w:rPr>
        <w:rFonts w:hint="default"/>
        <w:spacing w:val="-61"/>
        <w:w w:val="10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0">
    <w:nsid w:val="298100DF"/>
    <w:multiLevelType w:val="singleLevel"/>
    <w:tmpl w:val="298100DF"/>
    <w:lvl w:ilvl="0" w:tentative="0">
      <w:start w:val="3"/>
      <w:numFmt w:val="chineseCounting"/>
      <w:suff w:val="nothing"/>
      <w:lvlText w:val="%1、"/>
      <w:lvlJc w:val="left"/>
      <w:rPr>
        <w:rFonts w:hint="eastAsia"/>
      </w:rPr>
    </w:lvl>
  </w:abstractNum>
  <w:abstractNum w:abstractNumId="11">
    <w:nsid w:val="2BE8E7DD"/>
    <w:multiLevelType w:val="singleLevel"/>
    <w:tmpl w:val="2BE8E7DD"/>
    <w:lvl w:ilvl="0" w:tentative="0">
      <w:start w:val="1"/>
      <w:numFmt w:val="chineseCounting"/>
      <w:suff w:val="nothing"/>
      <w:lvlText w:val="%1、"/>
      <w:lvlJc w:val="left"/>
      <w:rPr>
        <w:rFonts w:hint="eastAsia"/>
      </w:rPr>
    </w:lvl>
  </w:abstractNum>
  <w:abstractNum w:abstractNumId="12">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02D41E"/>
    <w:multiLevelType w:val="multilevel"/>
    <w:tmpl w:val="3502D41E"/>
    <w:lvl w:ilvl="0" w:tentative="0">
      <w:start w:val="1"/>
      <w:numFmt w:val="decimal"/>
      <w:lvlText w:val="%1."/>
      <w:lvlJc w:val="left"/>
      <w:pPr>
        <w:ind w:left="0" w:hanging="222"/>
      </w:pPr>
      <w:rPr>
        <w:rFonts w:hint="default" w:ascii="宋体" w:hAnsi="宋体" w:eastAsia="宋体" w:cs="宋体"/>
        <w:spacing w:val="-11"/>
        <w:w w:val="100"/>
        <w:sz w:val="20"/>
        <w:szCs w:val="20"/>
        <w:lang w:val="zh-CN" w:eastAsia="zh-CN" w:bidi="zh-CN"/>
      </w:rPr>
    </w:lvl>
    <w:lvl w:ilvl="1" w:tentative="0">
      <w:start w:val="0"/>
      <w:numFmt w:val="bullet"/>
      <w:lvlText w:val="•"/>
      <w:lvlJc w:val="left"/>
      <w:pPr>
        <w:ind w:left="685" w:hanging="222"/>
      </w:pPr>
      <w:rPr>
        <w:rFonts w:hint="default"/>
        <w:lang w:val="zh-CN" w:eastAsia="zh-CN" w:bidi="zh-CN"/>
      </w:rPr>
    </w:lvl>
    <w:lvl w:ilvl="2" w:tentative="0">
      <w:start w:val="0"/>
      <w:numFmt w:val="bullet"/>
      <w:lvlText w:val="•"/>
      <w:lvlJc w:val="left"/>
      <w:pPr>
        <w:ind w:left="1377" w:hanging="222"/>
      </w:pPr>
      <w:rPr>
        <w:rFonts w:hint="default"/>
        <w:lang w:val="zh-CN" w:eastAsia="zh-CN" w:bidi="zh-CN"/>
      </w:rPr>
    </w:lvl>
    <w:lvl w:ilvl="3" w:tentative="0">
      <w:start w:val="0"/>
      <w:numFmt w:val="bullet"/>
      <w:lvlText w:val="•"/>
      <w:lvlJc w:val="left"/>
      <w:pPr>
        <w:ind w:left="2069" w:hanging="222"/>
      </w:pPr>
      <w:rPr>
        <w:rFonts w:hint="default"/>
        <w:lang w:val="zh-CN" w:eastAsia="zh-CN" w:bidi="zh-CN"/>
      </w:rPr>
    </w:lvl>
    <w:lvl w:ilvl="4" w:tentative="0">
      <w:start w:val="0"/>
      <w:numFmt w:val="bullet"/>
      <w:lvlText w:val="•"/>
      <w:lvlJc w:val="left"/>
      <w:pPr>
        <w:ind w:left="2761" w:hanging="222"/>
      </w:pPr>
      <w:rPr>
        <w:rFonts w:hint="default"/>
        <w:lang w:val="zh-CN" w:eastAsia="zh-CN" w:bidi="zh-CN"/>
      </w:rPr>
    </w:lvl>
    <w:lvl w:ilvl="5" w:tentative="0">
      <w:start w:val="0"/>
      <w:numFmt w:val="bullet"/>
      <w:lvlText w:val="•"/>
      <w:lvlJc w:val="left"/>
      <w:pPr>
        <w:ind w:left="3453" w:hanging="222"/>
      </w:pPr>
      <w:rPr>
        <w:rFonts w:hint="default"/>
        <w:lang w:val="zh-CN" w:eastAsia="zh-CN" w:bidi="zh-CN"/>
      </w:rPr>
    </w:lvl>
    <w:lvl w:ilvl="6" w:tentative="0">
      <w:start w:val="0"/>
      <w:numFmt w:val="bullet"/>
      <w:lvlText w:val="•"/>
      <w:lvlJc w:val="left"/>
      <w:pPr>
        <w:ind w:left="4145" w:hanging="222"/>
      </w:pPr>
      <w:rPr>
        <w:rFonts w:hint="default"/>
        <w:lang w:val="zh-CN" w:eastAsia="zh-CN" w:bidi="zh-CN"/>
      </w:rPr>
    </w:lvl>
    <w:lvl w:ilvl="7" w:tentative="0">
      <w:start w:val="0"/>
      <w:numFmt w:val="bullet"/>
      <w:lvlText w:val="•"/>
      <w:lvlJc w:val="left"/>
      <w:pPr>
        <w:ind w:left="4837" w:hanging="222"/>
      </w:pPr>
      <w:rPr>
        <w:rFonts w:hint="default"/>
        <w:lang w:val="zh-CN" w:eastAsia="zh-CN" w:bidi="zh-CN"/>
      </w:rPr>
    </w:lvl>
    <w:lvl w:ilvl="8" w:tentative="0">
      <w:start w:val="0"/>
      <w:numFmt w:val="bullet"/>
      <w:lvlText w:val="•"/>
      <w:lvlJc w:val="left"/>
      <w:pPr>
        <w:ind w:left="5529" w:hanging="222"/>
      </w:pPr>
      <w:rPr>
        <w:rFonts w:hint="default"/>
        <w:lang w:val="zh-CN" w:eastAsia="zh-CN" w:bidi="zh-CN"/>
      </w:rPr>
    </w:lvl>
  </w:abstractNum>
  <w:abstractNum w:abstractNumId="14">
    <w:nsid w:val="36882B1B"/>
    <w:multiLevelType w:val="singleLevel"/>
    <w:tmpl w:val="36882B1B"/>
    <w:lvl w:ilvl="0" w:tentative="0">
      <w:start w:val="10"/>
      <w:numFmt w:val="decimal"/>
      <w:suff w:val="nothing"/>
      <w:lvlText w:val="%1、"/>
      <w:lvlJc w:val="left"/>
    </w:lvl>
  </w:abstractNum>
  <w:abstractNum w:abstractNumId="15">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6">
    <w:nsid w:val="42E40C74"/>
    <w:multiLevelType w:val="multilevel"/>
    <w:tmpl w:val="42E40C74"/>
    <w:lvl w:ilvl="0" w:tentative="0">
      <w:start w:val="1"/>
      <w:numFmt w:val="decimal"/>
      <w:lvlText w:val="（%1）"/>
      <w:lvlJc w:val="left"/>
      <w:pPr>
        <w:ind w:left="660" w:hanging="553"/>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296" w:hanging="553"/>
      </w:pPr>
      <w:rPr>
        <w:rFonts w:hint="default"/>
        <w:lang w:val="zh-CN" w:eastAsia="zh-CN" w:bidi="zh-CN"/>
      </w:rPr>
    </w:lvl>
    <w:lvl w:ilvl="2" w:tentative="0">
      <w:start w:val="0"/>
      <w:numFmt w:val="bullet"/>
      <w:lvlText w:val="•"/>
      <w:lvlJc w:val="left"/>
      <w:pPr>
        <w:ind w:left="1932" w:hanging="553"/>
      </w:pPr>
      <w:rPr>
        <w:rFonts w:hint="default"/>
        <w:lang w:val="zh-CN" w:eastAsia="zh-CN" w:bidi="zh-CN"/>
      </w:rPr>
    </w:lvl>
    <w:lvl w:ilvl="3" w:tentative="0">
      <w:start w:val="0"/>
      <w:numFmt w:val="bullet"/>
      <w:lvlText w:val="•"/>
      <w:lvlJc w:val="left"/>
      <w:pPr>
        <w:ind w:left="2568" w:hanging="553"/>
      </w:pPr>
      <w:rPr>
        <w:rFonts w:hint="default"/>
        <w:lang w:val="zh-CN" w:eastAsia="zh-CN" w:bidi="zh-CN"/>
      </w:rPr>
    </w:lvl>
    <w:lvl w:ilvl="4" w:tentative="0">
      <w:start w:val="0"/>
      <w:numFmt w:val="bullet"/>
      <w:lvlText w:val="•"/>
      <w:lvlJc w:val="left"/>
      <w:pPr>
        <w:ind w:left="3204" w:hanging="553"/>
      </w:pPr>
      <w:rPr>
        <w:rFonts w:hint="default"/>
        <w:lang w:val="zh-CN" w:eastAsia="zh-CN" w:bidi="zh-CN"/>
      </w:rPr>
    </w:lvl>
    <w:lvl w:ilvl="5" w:tentative="0">
      <w:start w:val="0"/>
      <w:numFmt w:val="bullet"/>
      <w:lvlText w:val="•"/>
      <w:lvlJc w:val="left"/>
      <w:pPr>
        <w:ind w:left="3840" w:hanging="553"/>
      </w:pPr>
      <w:rPr>
        <w:rFonts w:hint="default"/>
        <w:lang w:val="zh-CN" w:eastAsia="zh-CN" w:bidi="zh-CN"/>
      </w:rPr>
    </w:lvl>
    <w:lvl w:ilvl="6" w:tentative="0">
      <w:start w:val="0"/>
      <w:numFmt w:val="bullet"/>
      <w:lvlText w:val="•"/>
      <w:lvlJc w:val="left"/>
      <w:pPr>
        <w:ind w:left="4476" w:hanging="553"/>
      </w:pPr>
      <w:rPr>
        <w:rFonts w:hint="default"/>
        <w:lang w:val="zh-CN" w:eastAsia="zh-CN" w:bidi="zh-CN"/>
      </w:rPr>
    </w:lvl>
    <w:lvl w:ilvl="7" w:tentative="0">
      <w:start w:val="0"/>
      <w:numFmt w:val="bullet"/>
      <w:lvlText w:val="•"/>
      <w:lvlJc w:val="left"/>
      <w:pPr>
        <w:ind w:left="5113" w:hanging="553"/>
      </w:pPr>
      <w:rPr>
        <w:rFonts w:hint="default"/>
        <w:lang w:val="zh-CN" w:eastAsia="zh-CN" w:bidi="zh-CN"/>
      </w:rPr>
    </w:lvl>
    <w:lvl w:ilvl="8" w:tentative="0">
      <w:start w:val="0"/>
      <w:numFmt w:val="bullet"/>
      <w:lvlText w:val="•"/>
      <w:lvlJc w:val="left"/>
      <w:pPr>
        <w:ind w:left="5749" w:hanging="553"/>
      </w:pPr>
      <w:rPr>
        <w:rFonts w:hint="default"/>
        <w:lang w:val="zh-CN" w:eastAsia="zh-CN" w:bidi="zh-CN"/>
      </w:rPr>
    </w:lvl>
  </w:abstractNum>
  <w:abstractNum w:abstractNumId="17">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9">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20">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21">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3">
    <w:nsid w:val="697AFE23"/>
    <w:multiLevelType w:val="multilevel"/>
    <w:tmpl w:val="697AFE23"/>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num w:numId="1">
    <w:abstractNumId w:val="20"/>
  </w:num>
  <w:num w:numId="2">
    <w:abstractNumId w:val="18"/>
  </w:num>
  <w:num w:numId="3">
    <w:abstractNumId w:val="17"/>
  </w:num>
  <w:num w:numId="4">
    <w:abstractNumId w:val="8"/>
  </w:num>
  <w:num w:numId="5">
    <w:abstractNumId w:val="14"/>
  </w:num>
  <w:num w:numId="6">
    <w:abstractNumId w:val="7"/>
  </w:num>
  <w:num w:numId="7">
    <w:abstractNumId w:val="12"/>
  </w:num>
  <w:num w:numId="8">
    <w:abstractNumId w:val="4"/>
  </w:num>
  <w:num w:numId="9">
    <w:abstractNumId w:val="5"/>
  </w:num>
  <w:num w:numId="10">
    <w:abstractNumId w:val="1"/>
  </w:num>
  <w:num w:numId="11">
    <w:abstractNumId w:val="3"/>
  </w:num>
  <w:num w:numId="12">
    <w:abstractNumId w:val="15"/>
  </w:num>
  <w:num w:numId="13">
    <w:abstractNumId w:val="19"/>
  </w:num>
  <w:num w:numId="14">
    <w:abstractNumId w:val="2"/>
  </w:num>
  <w:num w:numId="15">
    <w:abstractNumId w:val="22"/>
  </w:num>
  <w:num w:numId="16">
    <w:abstractNumId w:val="21"/>
  </w:num>
  <w:num w:numId="17">
    <w:abstractNumId w:val="10"/>
  </w:num>
  <w:num w:numId="18">
    <w:abstractNumId w:val="9"/>
  </w:num>
  <w:num w:numId="19">
    <w:abstractNumId w:val="16"/>
  </w:num>
  <w:num w:numId="20">
    <w:abstractNumId w:val="13"/>
  </w:num>
  <w:num w:numId="21">
    <w:abstractNumId w:val="6"/>
  </w:num>
  <w:num w:numId="22">
    <w:abstractNumId w:val="2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6D56DBC"/>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0E266B5"/>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7D6144"/>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8A59D8"/>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03484"/>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4CF75B8"/>
    <w:rsid w:val="45D91BDA"/>
    <w:rsid w:val="46082B57"/>
    <w:rsid w:val="466F403B"/>
    <w:rsid w:val="46A626AA"/>
    <w:rsid w:val="46DC614C"/>
    <w:rsid w:val="46EC7F0F"/>
    <w:rsid w:val="47990A92"/>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886BA1"/>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8F1548"/>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1D6709"/>
    <w:rsid w:val="615C50D8"/>
    <w:rsid w:val="616F20CB"/>
    <w:rsid w:val="61A02397"/>
    <w:rsid w:val="61CB3F7D"/>
    <w:rsid w:val="61DA155D"/>
    <w:rsid w:val="61E72D18"/>
    <w:rsid w:val="62103D7B"/>
    <w:rsid w:val="62380FB5"/>
    <w:rsid w:val="62577947"/>
    <w:rsid w:val="63217F7A"/>
    <w:rsid w:val="634A3351"/>
    <w:rsid w:val="635A11AF"/>
    <w:rsid w:val="636B1C6F"/>
    <w:rsid w:val="63DE6A3F"/>
    <w:rsid w:val="64160C08"/>
    <w:rsid w:val="6426329E"/>
    <w:rsid w:val="64F8184B"/>
    <w:rsid w:val="65737CF6"/>
    <w:rsid w:val="66053330"/>
    <w:rsid w:val="666130F6"/>
    <w:rsid w:val="66665F25"/>
    <w:rsid w:val="669123F3"/>
    <w:rsid w:val="66B970E8"/>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03513E"/>
    <w:rsid w:val="724945A8"/>
    <w:rsid w:val="72C5692B"/>
    <w:rsid w:val="72C764E3"/>
    <w:rsid w:val="72CF4910"/>
    <w:rsid w:val="73342FB4"/>
    <w:rsid w:val="73E34AB9"/>
    <w:rsid w:val="741D0491"/>
    <w:rsid w:val="74283F5A"/>
    <w:rsid w:val="746B69CE"/>
    <w:rsid w:val="74B72109"/>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autoRedefine/>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autoRedefine/>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semiHidden/>
    <w:qFormat/>
    <w:uiPriority w:val="0"/>
    <w:pPr>
      <w:ind w:left="1260"/>
    </w:pPr>
  </w:style>
  <w:style w:type="paragraph" w:styleId="7">
    <w:name w:val="Normal Indent"/>
    <w:basedOn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semiHidden/>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semiHidden/>
    <w:qFormat/>
    <w:uiPriority w:val="0"/>
    <w:pPr>
      <w:ind w:left="1680"/>
    </w:pPr>
  </w:style>
  <w:style w:type="paragraph" w:styleId="19">
    <w:name w:val="Document Map"/>
    <w:basedOn w:val="1"/>
    <w:link w:val="145"/>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autoRedefine/>
    <w:unhideWhenUsed/>
    <w:qFormat/>
    <w:uiPriority w:val="99"/>
    <w:pPr>
      <w:jc w:val="left"/>
    </w:pPr>
  </w:style>
  <w:style w:type="paragraph" w:styleId="21">
    <w:name w:val="index 6"/>
    <w:basedOn w:val="1"/>
    <w:next w:val="1"/>
    <w:autoRedefine/>
    <w:semiHidden/>
    <w:qFormat/>
    <w:uiPriority w:val="0"/>
    <w:pPr>
      <w:ind w:left="2100"/>
    </w:pPr>
  </w:style>
  <w:style w:type="paragraph" w:styleId="22">
    <w:name w:val="Salutation"/>
    <w:basedOn w:val="1"/>
    <w:next w:val="1"/>
    <w:link w:val="197"/>
    <w:autoRedefine/>
    <w:qFormat/>
    <w:uiPriority w:val="0"/>
    <w:rPr>
      <w:rFonts w:ascii="仿宋_GB2312" w:eastAsia="仿宋_GB2312"/>
      <w:sz w:val="28"/>
    </w:rPr>
  </w:style>
  <w:style w:type="paragraph" w:styleId="23">
    <w:name w:val="Body Text 3"/>
    <w:basedOn w:val="1"/>
    <w:link w:val="244"/>
    <w:autoRedefine/>
    <w:qFormat/>
    <w:uiPriority w:val="0"/>
    <w:rPr>
      <w:rFonts w:ascii="仿宋_GB2312" w:hAnsi="Arial" w:eastAsia="仿宋_GB2312"/>
      <w:sz w:val="32"/>
    </w:rPr>
  </w:style>
  <w:style w:type="paragraph" w:styleId="24">
    <w:name w:val="Body Text"/>
    <w:basedOn w:val="1"/>
    <w:link w:val="203"/>
    <w:autoRedefine/>
    <w:qFormat/>
    <w:uiPriority w:val="0"/>
    <w:rPr>
      <w:rFonts w:ascii="楷体_GB2312" w:hAnsi="Arial" w:eastAsia="楷体_GB2312"/>
      <w:sz w:val="28"/>
    </w:rPr>
  </w:style>
  <w:style w:type="paragraph" w:styleId="25">
    <w:name w:val="Body Text Indent"/>
    <w:basedOn w:val="1"/>
    <w:link w:val="94"/>
    <w:autoRedefine/>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8"/>
    <w:autoRedefine/>
    <w:qFormat/>
    <w:uiPriority w:val="0"/>
    <w:rPr>
      <w:rFonts w:ascii="宋体" w:hAnsi="Courier New" w:eastAsia="宋体" w:cstheme="minorBidi"/>
      <w:kern w:val="2"/>
      <w:sz w:val="21"/>
      <w:szCs w:val="24"/>
      <w:lang w:val="en-US"/>
    </w:rPr>
  </w:style>
  <w:style w:type="paragraph" w:styleId="29">
    <w:name w:val="toc 8"/>
    <w:basedOn w:val="1"/>
    <w:next w:val="1"/>
    <w:autoRedefine/>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3"/>
    <w:autoRedefine/>
    <w:qFormat/>
    <w:uiPriority w:val="0"/>
    <w:pPr>
      <w:ind w:left="100" w:leftChars="2500"/>
    </w:pPr>
    <w:rPr>
      <w:sz w:val="28"/>
    </w:rPr>
  </w:style>
  <w:style w:type="paragraph" w:styleId="32">
    <w:name w:val="Body Text Indent 2"/>
    <w:basedOn w:val="1"/>
    <w:link w:val="135"/>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autoRedefine/>
    <w:qFormat/>
    <w:uiPriority w:val="0"/>
    <w:pPr>
      <w:snapToGrid w:val="0"/>
      <w:jc w:val="left"/>
    </w:pPr>
    <w:rPr>
      <w:szCs w:val="24"/>
    </w:rPr>
  </w:style>
  <w:style w:type="paragraph" w:styleId="34">
    <w:name w:val="Balloon Text"/>
    <w:basedOn w:val="1"/>
    <w:link w:val="207"/>
    <w:autoRedefine/>
    <w:semiHidden/>
    <w:qFormat/>
    <w:uiPriority w:val="0"/>
    <w:rPr>
      <w:sz w:val="18"/>
      <w:szCs w:val="18"/>
    </w:rPr>
  </w:style>
  <w:style w:type="paragraph" w:styleId="3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2"/>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0"/>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0"/>
    <w:autoRedefine/>
    <w:qFormat/>
    <w:uiPriority w:val="0"/>
    <w:pPr>
      <w:widowControl/>
      <w:jc w:val="center"/>
    </w:pPr>
    <w:rPr>
      <w:rFonts w:ascii="楷体_GB2312" w:eastAsia="楷体_GB2312"/>
      <w:sz w:val="28"/>
    </w:rPr>
  </w:style>
  <w:style w:type="paragraph" w:styleId="52">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autoRedefine/>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autoRedefine/>
    <w:qFormat/>
    <w:uiPriority w:val="0"/>
  </w:style>
  <w:style w:type="character" w:styleId="67">
    <w:name w:val="HTML Typewriter"/>
    <w:autoRedefine/>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2">
    <w:name w:val="h Char Char"/>
    <w:autoRedefine/>
    <w:qFormat/>
    <w:uiPriority w:val="0"/>
    <w:rPr>
      <w:rFonts w:eastAsia="宋体"/>
      <w:kern w:val="2"/>
      <w:sz w:val="18"/>
      <w:szCs w:val="18"/>
      <w:lang w:val="en-US" w:eastAsia="zh-CN" w:bidi="ar-SA"/>
    </w:rPr>
  </w:style>
  <w:style w:type="character" w:customStyle="1" w:styleId="83">
    <w:name w:val="apple-converted-space"/>
    <w:basedOn w:val="60"/>
    <w:autoRedefine/>
    <w:qFormat/>
    <w:uiPriority w:val="0"/>
  </w:style>
  <w:style w:type="character" w:customStyle="1" w:styleId="84">
    <w:name w:val="Char Char27"/>
    <w:autoRedefine/>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autoRedefine/>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autoRedefine/>
    <w:qFormat/>
    <w:uiPriority w:val="0"/>
    <w:rPr>
      <w:rFonts w:ascii="宋体" w:hAnsi="Courier New" w:eastAsia="宋体"/>
      <w:kern w:val="2"/>
      <w:sz w:val="21"/>
      <w:szCs w:val="21"/>
      <w:lang w:val="en-US" w:eastAsia="zh-CN" w:bidi="ar-SA"/>
    </w:rPr>
  </w:style>
  <w:style w:type="character" w:customStyle="1" w:styleId="91">
    <w:name w:val="Char Char21"/>
    <w:autoRedefine/>
    <w:qFormat/>
    <w:uiPriority w:val="0"/>
    <w:rPr>
      <w:rFonts w:ascii="Arial" w:hAnsi="Arial" w:eastAsia="黑体"/>
      <w:kern w:val="2"/>
      <w:sz w:val="24"/>
      <w:szCs w:val="24"/>
    </w:rPr>
  </w:style>
  <w:style w:type="character" w:customStyle="1" w:styleId="92">
    <w:name w:val="标题 字符1"/>
    <w:link w:val="55"/>
    <w:autoRedefine/>
    <w:qFormat/>
    <w:uiPriority w:val="0"/>
    <w:rPr>
      <w:rFonts w:eastAsia="黑体"/>
      <w:b/>
      <w:sz w:val="28"/>
      <w:lang w:val="en-GB"/>
    </w:rPr>
  </w:style>
  <w:style w:type="character" w:customStyle="1" w:styleId="93">
    <w:name w:val="特点 Char1"/>
    <w:autoRedefine/>
    <w:qFormat/>
    <w:uiPriority w:val="0"/>
    <w:rPr>
      <w:rFonts w:eastAsia="宋体"/>
      <w:kern w:val="2"/>
      <w:sz w:val="21"/>
      <w:lang w:val="en-US" w:eastAsia="zh-CN" w:bidi="ar-SA"/>
    </w:rPr>
  </w:style>
  <w:style w:type="character" w:customStyle="1" w:styleId="94">
    <w:name w:val="正文文本缩进 字符1"/>
    <w:link w:val="25"/>
    <w:autoRedefine/>
    <w:qFormat/>
    <w:uiPriority w:val="0"/>
    <w:rPr>
      <w:rFonts w:ascii="楷体_GB2312" w:eastAsia="楷体_GB2312"/>
      <w:sz w:val="32"/>
    </w:rPr>
  </w:style>
  <w:style w:type="character" w:customStyle="1" w:styleId="95">
    <w:name w:val="样式 宋体 小四"/>
    <w:autoRedefine/>
    <w:qFormat/>
    <w:uiPriority w:val="0"/>
    <w:rPr>
      <w:rFonts w:ascii="宋体" w:hAnsi="宋体"/>
      <w:sz w:val="24"/>
    </w:rPr>
  </w:style>
  <w:style w:type="character" w:customStyle="1" w:styleId="96">
    <w:name w:val="无间隔 字符"/>
    <w:link w:val="97"/>
    <w:autoRedefine/>
    <w:qFormat/>
    <w:uiPriority w:val="0"/>
    <w:rPr>
      <w:rFonts w:ascii="Calibri" w:hAnsi="Calibri" w:eastAsia="微软雅黑"/>
      <w:sz w:val="24"/>
      <w:szCs w:val="22"/>
    </w:rPr>
  </w:style>
  <w:style w:type="paragraph" w:styleId="97">
    <w:name w:val="No Spacing"/>
    <w:link w:val="96"/>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autoRedefine/>
    <w:qFormat/>
    <w:uiPriority w:val="0"/>
    <w:rPr>
      <w:rFonts w:ascii="宋体" w:eastAsia="宋体"/>
      <w:kern w:val="2"/>
      <w:sz w:val="21"/>
      <w:szCs w:val="21"/>
      <w:lang w:val="en-US" w:eastAsia="zh-CN" w:bidi="ar-SA"/>
    </w:rPr>
  </w:style>
  <w:style w:type="character" w:customStyle="1" w:styleId="99">
    <w:name w:val="case31"/>
    <w:autoRedefine/>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autoRedefine/>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autoRedefine/>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autoRedefine/>
    <w:semiHidden/>
    <w:qFormat/>
    <w:uiPriority w:val="0"/>
    <w:rPr>
      <w:rFonts w:eastAsia="宋体"/>
      <w:b/>
      <w:bCs/>
    </w:rPr>
  </w:style>
  <w:style w:type="character" w:customStyle="1" w:styleId="108">
    <w:name w:val="标准文本 Char Char"/>
    <w:autoRedefine/>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autoRedefine/>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autoRedefine/>
    <w:qFormat/>
    <w:uiPriority w:val="99"/>
    <w:rPr>
      <w:rFonts w:eastAsia="宋体"/>
      <w:kern w:val="2"/>
      <w:sz w:val="21"/>
      <w:lang w:val="en-US" w:eastAsia="zh-CN" w:bidi="ar-SA"/>
    </w:rPr>
  </w:style>
  <w:style w:type="character" w:customStyle="1" w:styleId="122">
    <w:name w:val="小四 段落 宋体 Char1"/>
    <w:autoRedefine/>
    <w:qFormat/>
    <w:uiPriority w:val="0"/>
    <w:rPr>
      <w:rFonts w:eastAsia="宋体"/>
      <w:kern w:val="2"/>
      <w:sz w:val="24"/>
      <w:szCs w:val="24"/>
      <w:lang w:val="en-US" w:eastAsia="zh-CN" w:bidi="ar-SA"/>
    </w:rPr>
  </w:style>
  <w:style w:type="character" w:customStyle="1" w:styleId="123">
    <w:name w:val="Char Char2"/>
    <w:autoRedefine/>
    <w:qFormat/>
    <w:uiPriority w:val="0"/>
    <w:rPr>
      <w:rFonts w:ascii="宋体" w:hAnsi="Courier New" w:eastAsia="宋体"/>
      <w:kern w:val="2"/>
      <w:sz w:val="21"/>
      <w:szCs w:val="21"/>
      <w:lang w:val="en-US" w:eastAsia="zh-CN" w:bidi="ar-SA"/>
    </w:rPr>
  </w:style>
  <w:style w:type="character" w:customStyle="1" w:styleId="124">
    <w:name w:val="样式 非加粗"/>
    <w:autoRedefine/>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autoRedefine/>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autoRedefine/>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autoRedefine/>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autoRedefine/>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autoRedefine/>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autoRedefine/>
    <w:qFormat/>
    <w:uiPriority w:val="0"/>
    <w:rPr>
      <w:b/>
      <w:bCs/>
      <w:kern w:val="2"/>
      <w:sz w:val="28"/>
      <w:szCs w:val="28"/>
    </w:rPr>
  </w:style>
  <w:style w:type="character" w:customStyle="1" w:styleId="140">
    <w:name w:val="标题 8 字符1"/>
    <w:link w:val="11"/>
    <w:autoRedefine/>
    <w:qFormat/>
    <w:uiPriority w:val="0"/>
    <w:rPr>
      <w:rFonts w:ascii="Arial" w:hAnsi="Arial" w:eastAsia="黑体" w:cs="Times New Roman"/>
      <w:sz w:val="24"/>
    </w:rPr>
  </w:style>
  <w:style w:type="character" w:customStyle="1" w:styleId="141">
    <w:name w:val="标题 9 字符1"/>
    <w:link w:val="12"/>
    <w:autoRedefine/>
    <w:qFormat/>
    <w:uiPriority w:val="0"/>
    <w:rPr>
      <w:rFonts w:ascii="Arial" w:hAnsi="Arial" w:eastAsia="黑体" w:cs="Times New Roman"/>
      <w:szCs w:val="21"/>
    </w:rPr>
  </w:style>
  <w:style w:type="character" w:customStyle="1" w:styleId="142">
    <w:name w:val="标题 5 字符1"/>
    <w:link w:val="8"/>
    <w:autoRedefine/>
    <w:qFormat/>
    <w:uiPriority w:val="0"/>
    <w:rPr>
      <w:rFonts w:ascii="黑体" w:hAnsi="Times New Roman" w:eastAsia="黑体" w:cs="Times New Roman"/>
      <w:b/>
      <w:color w:val="000000"/>
      <w:kern w:val="0"/>
      <w:sz w:val="28"/>
      <w:szCs w:val="20"/>
    </w:rPr>
  </w:style>
  <w:style w:type="character" w:customStyle="1" w:styleId="143">
    <w:name w:val="书籍标题1"/>
    <w:autoRedefine/>
    <w:qFormat/>
    <w:uiPriority w:val="0"/>
    <w:rPr>
      <w:i/>
      <w:iCs/>
      <w:smallCaps/>
      <w:spacing w:val="5"/>
    </w:rPr>
  </w:style>
  <w:style w:type="character" w:customStyle="1" w:styleId="144">
    <w:name w:val="textcontents"/>
    <w:basedOn w:val="60"/>
    <w:autoRedefine/>
    <w:qFormat/>
    <w:uiPriority w:val="0"/>
  </w:style>
  <w:style w:type="character" w:customStyle="1" w:styleId="145">
    <w:name w:val="文档结构图 字符1"/>
    <w:link w:val="19"/>
    <w:autoRedefine/>
    <w:semiHidden/>
    <w:qFormat/>
    <w:uiPriority w:val="0"/>
    <w:rPr>
      <w:rFonts w:eastAsia="宋体"/>
      <w:shd w:val="clear" w:color="auto" w:fill="000080"/>
    </w:rPr>
  </w:style>
  <w:style w:type="character" w:customStyle="1" w:styleId="146">
    <w:name w:val="HTML 预设格式 字符1"/>
    <w:link w:val="52"/>
    <w:autoRedefine/>
    <w:qFormat/>
    <w:uiPriority w:val="0"/>
    <w:rPr>
      <w:rFonts w:ascii="黑体" w:hAnsi="Courier New" w:eastAsia="黑体" w:cs="Courier New"/>
    </w:rPr>
  </w:style>
  <w:style w:type="character" w:customStyle="1" w:styleId="147">
    <w:name w:val="标题 3 Char Char"/>
    <w:autoRedefine/>
    <w:qFormat/>
    <w:uiPriority w:val="0"/>
    <w:rPr>
      <w:rFonts w:eastAsia="仿宋_GB2312"/>
      <w:b/>
      <w:bCs/>
      <w:kern w:val="2"/>
      <w:sz w:val="28"/>
      <w:szCs w:val="32"/>
      <w:lang w:val="en-US" w:eastAsia="zh-CN" w:bidi="ar-SA"/>
    </w:rPr>
  </w:style>
  <w:style w:type="character" w:customStyle="1" w:styleId="148">
    <w:name w:val="样式 首行缩进:  2 字符 Char"/>
    <w:autoRedefine/>
    <w:qFormat/>
    <w:uiPriority w:val="0"/>
    <w:rPr>
      <w:rFonts w:eastAsia="宋体" w:cs="宋体"/>
      <w:kern w:val="2"/>
      <w:sz w:val="24"/>
      <w:lang w:val="en-US" w:eastAsia="zh-CN" w:bidi="ar-SA"/>
    </w:rPr>
  </w:style>
  <w:style w:type="character" w:customStyle="1" w:styleId="149">
    <w:name w:val="已访问的超链接1"/>
    <w:autoRedefine/>
    <w:qFormat/>
    <w:uiPriority w:val="0"/>
    <w:rPr>
      <w:color w:val="auto"/>
      <w:u w:val="none"/>
    </w:rPr>
  </w:style>
  <w:style w:type="character" w:customStyle="1" w:styleId="150">
    <w:name w:val="表格抬头 Char"/>
    <w:link w:val="151"/>
    <w:autoRedefine/>
    <w:qFormat/>
    <w:locked/>
    <w:uiPriority w:val="0"/>
    <w:rPr>
      <w:rFonts w:ascii="黑体" w:eastAsia="黑体"/>
      <w:b/>
    </w:rPr>
  </w:style>
  <w:style w:type="paragraph" w:customStyle="1" w:styleId="151">
    <w:name w:val="表格抬头"/>
    <w:basedOn w:val="1"/>
    <w:link w:val="150"/>
    <w:autoRedefine/>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autoRedefine/>
    <w:qFormat/>
    <w:uiPriority w:val="0"/>
  </w:style>
  <w:style w:type="character" w:customStyle="1" w:styleId="153">
    <w:name w:val="point_normal1"/>
    <w:autoRedefine/>
    <w:qFormat/>
    <w:uiPriority w:val="0"/>
    <w:rPr>
      <w:rFonts w:hint="default" w:ascii="Arial" w:hAnsi="Arial" w:cs="Arial"/>
      <w:sz w:val="18"/>
      <w:szCs w:val="18"/>
    </w:rPr>
  </w:style>
  <w:style w:type="character" w:customStyle="1" w:styleId="154">
    <w:name w:val="正文 + 宋体 Char"/>
    <w:autoRedefine/>
    <w:qFormat/>
    <w:uiPriority w:val="0"/>
    <w:rPr>
      <w:rFonts w:eastAsia="宋体"/>
      <w:kern w:val="2"/>
      <w:sz w:val="21"/>
      <w:szCs w:val="24"/>
      <w:lang w:val="en-US" w:eastAsia="zh-CN" w:bidi="ar-SA"/>
    </w:rPr>
  </w:style>
  <w:style w:type="character" w:customStyle="1" w:styleId="155">
    <w:name w:val="明显参考1"/>
    <w:autoRedefine/>
    <w:qFormat/>
    <w:uiPriority w:val="0"/>
    <w:rPr>
      <w:smallCaps/>
      <w:spacing w:val="5"/>
      <w:u w:val="single"/>
    </w:rPr>
  </w:style>
  <w:style w:type="character" w:customStyle="1" w:styleId="156">
    <w:name w:val="Char Char28"/>
    <w:autoRedefine/>
    <w:qFormat/>
    <w:uiPriority w:val="0"/>
    <w:rPr>
      <w:rFonts w:ascii="Arial" w:hAnsi="Arial" w:eastAsia="黑体" w:cs="Arial"/>
      <w:b/>
      <w:bCs/>
      <w:sz w:val="32"/>
      <w:szCs w:val="32"/>
    </w:rPr>
  </w:style>
  <w:style w:type="character" w:customStyle="1" w:styleId="157">
    <w:name w:val="明显强调1"/>
    <w:autoRedefine/>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autoRedefine/>
    <w:qFormat/>
    <w:uiPriority w:val="0"/>
    <w:rPr>
      <w:rFonts w:ascii="Arial" w:hAnsi="Arial" w:eastAsia="黑体" w:cs="Times New Roman"/>
      <w:b/>
      <w:sz w:val="28"/>
      <w:szCs w:val="20"/>
    </w:rPr>
  </w:style>
  <w:style w:type="character" w:customStyle="1" w:styleId="160">
    <w:name w:val="normalfont1"/>
    <w:autoRedefine/>
    <w:qFormat/>
    <w:uiPriority w:val="0"/>
    <w:rPr>
      <w:rFonts w:hint="default" w:ascii="ˎ̥" w:hAnsi="ˎ̥"/>
      <w:sz w:val="18"/>
      <w:szCs w:val="18"/>
      <w:u w:val="none"/>
    </w:rPr>
  </w:style>
  <w:style w:type="character" w:customStyle="1" w:styleId="161">
    <w:name w:val="标题 Char1"/>
    <w:autoRedefine/>
    <w:qFormat/>
    <w:uiPriority w:val="0"/>
    <w:rPr>
      <w:rFonts w:ascii="Cambria" w:eastAsia="宋体" w:cs="Times New Roman"/>
      <w:b/>
      <w:bCs/>
      <w:sz w:val="32"/>
      <w:szCs w:val="32"/>
    </w:rPr>
  </w:style>
  <w:style w:type="character" w:customStyle="1" w:styleId="162">
    <w:name w:val="标题 7 字符1"/>
    <w:link w:val="10"/>
    <w:autoRedefine/>
    <w:qFormat/>
    <w:uiPriority w:val="0"/>
    <w:rPr>
      <w:rFonts w:ascii="Times New Roman" w:hAnsi="Times New Roman" w:eastAsia="宋体" w:cs="Times New Roman"/>
      <w:b/>
      <w:bCs/>
      <w:sz w:val="24"/>
    </w:rPr>
  </w:style>
  <w:style w:type="character" w:customStyle="1" w:styleId="163">
    <w:name w:val="小四 段落 宋体 Char Char Char Char Char Char Char Char"/>
    <w:autoRedefine/>
    <w:qFormat/>
    <w:uiPriority w:val="0"/>
    <w:rPr>
      <w:rFonts w:eastAsia="宋体"/>
      <w:kern w:val="2"/>
      <w:sz w:val="24"/>
      <w:szCs w:val="24"/>
      <w:lang w:val="en-US" w:eastAsia="zh-CN" w:bidi="ar-SA"/>
    </w:rPr>
  </w:style>
  <w:style w:type="character" w:customStyle="1" w:styleId="164">
    <w:name w:val="标准小四 Char Char"/>
    <w:autoRedefine/>
    <w:qFormat/>
    <w:uiPriority w:val="0"/>
    <w:rPr>
      <w:rFonts w:ascii="Arial" w:hAnsi="Arial" w:eastAsia="宋体"/>
      <w:kern w:val="2"/>
      <w:sz w:val="24"/>
      <w:szCs w:val="21"/>
      <w:lang w:val="en-US" w:eastAsia="zh-CN" w:bidi="ar-SA"/>
    </w:rPr>
  </w:style>
  <w:style w:type="character" w:customStyle="1" w:styleId="165">
    <w:name w:val="不明显参考1"/>
    <w:autoRedefine/>
    <w:qFormat/>
    <w:uiPriority w:val="0"/>
    <w:rPr>
      <w:smallCaps/>
    </w:rPr>
  </w:style>
  <w:style w:type="character" w:customStyle="1" w:styleId="166">
    <w:name w:val="标题 3 Char"/>
    <w:autoRedefine/>
    <w:qFormat/>
    <w:uiPriority w:val="0"/>
    <w:rPr>
      <w:rFonts w:ascii="宋体" w:hAnsi="宋体" w:eastAsia="宋体"/>
      <w:b/>
      <w:bCs/>
      <w:kern w:val="2"/>
      <w:sz w:val="24"/>
      <w:szCs w:val="32"/>
      <w:lang w:val="en-US" w:eastAsia="zh-CN" w:bidi="ar-SA"/>
    </w:rPr>
  </w:style>
  <w:style w:type="character" w:customStyle="1" w:styleId="167">
    <w:name w:val="3zw"/>
    <w:basedOn w:val="60"/>
    <w:autoRedefine/>
    <w:qFormat/>
    <w:uiPriority w:val="0"/>
  </w:style>
  <w:style w:type="character" w:customStyle="1" w:styleId="168">
    <w:name w:val="Char Char20"/>
    <w:autoRedefine/>
    <w:qFormat/>
    <w:uiPriority w:val="0"/>
    <w:rPr>
      <w:rFonts w:ascii="Arial" w:hAnsi="Arial" w:eastAsia="黑体"/>
      <w:kern w:val="2"/>
      <w:sz w:val="21"/>
      <w:szCs w:val="21"/>
    </w:rPr>
  </w:style>
  <w:style w:type="character" w:customStyle="1" w:styleId="169">
    <w:name w:val="2nd level Char"/>
    <w:autoRedefine/>
    <w:qFormat/>
    <w:uiPriority w:val="0"/>
    <w:rPr>
      <w:rFonts w:ascii="Arial" w:hAnsi="Arial" w:eastAsia="黑体"/>
      <w:b/>
      <w:bCs/>
      <w:kern w:val="2"/>
      <w:sz w:val="32"/>
      <w:szCs w:val="32"/>
      <w:lang w:val="en-US" w:eastAsia="zh-CN" w:bidi="ar-SA"/>
    </w:rPr>
  </w:style>
  <w:style w:type="character" w:customStyle="1" w:styleId="170">
    <w:name w:val="listbenefit"/>
    <w:autoRedefine/>
    <w:qFormat/>
    <w:uiPriority w:val="0"/>
  </w:style>
  <w:style w:type="character" w:customStyle="1" w:styleId="171">
    <w:name w:val="Char Char29"/>
    <w:autoRedefine/>
    <w:qFormat/>
    <w:uiPriority w:val="0"/>
    <w:rPr>
      <w:rFonts w:ascii="Times New Roman" w:hAnsi="Times New Roman" w:eastAsia="宋体" w:cs="Times New Roman"/>
      <w:b/>
      <w:bCs/>
      <w:kern w:val="44"/>
      <w:sz w:val="44"/>
      <w:szCs w:val="44"/>
    </w:rPr>
  </w:style>
  <w:style w:type="character" w:customStyle="1" w:styleId="172">
    <w:name w:val="subtitle1"/>
    <w:autoRedefine/>
    <w:qFormat/>
    <w:uiPriority w:val="0"/>
    <w:rPr>
      <w:rFonts w:hint="default" w:ascii="Georgia" w:hAnsi="Georgia"/>
      <w:b/>
      <w:bCs/>
      <w:color w:val="666666"/>
      <w:sz w:val="18"/>
      <w:szCs w:val="18"/>
    </w:rPr>
  </w:style>
  <w:style w:type="character" w:customStyle="1" w:styleId="173">
    <w:name w:val="样式 首行缩进:  2 字符 Char Char"/>
    <w:link w:val="174"/>
    <w:autoRedefine/>
    <w:qFormat/>
    <w:uiPriority w:val="0"/>
    <w:rPr>
      <w:rFonts w:eastAsia="宋体" w:cs="宋体"/>
      <w:sz w:val="24"/>
    </w:rPr>
  </w:style>
  <w:style w:type="paragraph" w:customStyle="1" w:styleId="174">
    <w:name w:val="样式 首行缩进:  2 字符"/>
    <w:basedOn w:val="1"/>
    <w:link w:val="173"/>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autoRedefine/>
    <w:qFormat/>
    <w:uiPriority w:val="0"/>
  </w:style>
  <w:style w:type="character" w:customStyle="1" w:styleId="179">
    <w:name w:val="Char Char22"/>
    <w:autoRedefine/>
    <w:qFormat/>
    <w:uiPriority w:val="0"/>
    <w:rPr>
      <w:b/>
      <w:bCs/>
      <w:kern w:val="2"/>
      <w:sz w:val="24"/>
      <w:szCs w:val="24"/>
    </w:rPr>
  </w:style>
  <w:style w:type="character" w:customStyle="1" w:styleId="180">
    <w:name w:val="纯文本 Char1"/>
    <w:autoRedefine/>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autoRedefine/>
    <w:qFormat/>
    <w:uiPriority w:val="0"/>
    <w:rPr>
      <w:rFonts w:ascii="宋体" w:hAnsi="宋体" w:eastAsia="黑体" w:cs="宋体"/>
      <w:b/>
      <w:bCs/>
      <w:szCs w:val="21"/>
    </w:rPr>
  </w:style>
  <w:style w:type="paragraph" w:customStyle="1" w:styleId="183">
    <w:name w:val="111111"/>
    <w:basedOn w:val="1"/>
    <w:link w:val="182"/>
    <w:autoRedefine/>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8">
    <w:name w:val="样式3"/>
    <w:basedOn w:val="1"/>
    <w:next w:val="1"/>
    <w:autoRedefine/>
    <w:qFormat/>
    <w:uiPriority w:val="0"/>
    <w:pPr>
      <w:spacing w:line="360" w:lineRule="auto"/>
    </w:pPr>
  </w:style>
  <w:style w:type="paragraph" w:customStyle="1" w:styleId="189">
    <w:name w:val="Char Char Char Char Char"/>
    <w:basedOn w:val="1"/>
    <w:autoRedefine/>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autoRedefine/>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autoRedefine/>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autoRedefine/>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autoRedefine/>
    <w:qFormat/>
    <w:uiPriority w:val="0"/>
    <w:rPr>
      <w:sz w:val="24"/>
      <w:szCs w:val="24"/>
    </w:rPr>
  </w:style>
  <w:style w:type="paragraph" w:customStyle="1" w:styleId="199">
    <w:name w:val="Char Char1 Char"/>
    <w:basedOn w:val="1"/>
    <w:autoRedefine/>
    <w:qFormat/>
    <w:uiPriority w:val="0"/>
    <w:pPr>
      <w:widowControl/>
      <w:spacing w:after="160" w:line="240" w:lineRule="exact"/>
      <w:jc w:val="left"/>
    </w:pPr>
    <w:rPr>
      <w:rFonts w:ascii="Verdana" w:hAnsi="Verdana"/>
      <w:lang w:eastAsia="en-US"/>
    </w:rPr>
  </w:style>
  <w:style w:type="paragraph" w:customStyle="1" w:styleId="2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autoRedefine/>
    <w:qFormat/>
    <w:uiPriority w:val="0"/>
    <w:pPr>
      <w:spacing w:before="156" w:line="360" w:lineRule="auto"/>
      <w:ind w:firstLine="510" w:firstLineChars="200"/>
    </w:pPr>
    <w:rPr>
      <w:sz w:val="24"/>
    </w:rPr>
  </w:style>
  <w:style w:type="character" w:customStyle="1" w:styleId="203">
    <w:name w:val="正文文本 字符"/>
    <w:basedOn w:val="60"/>
    <w:link w:val="24"/>
    <w:autoRedefine/>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autoRedefine/>
    <w:semiHidden/>
    <w:qFormat/>
    <w:uiPriority w:val="99"/>
    <w:rPr>
      <w:rFonts w:ascii="Courier New" w:hAnsi="Courier New" w:eastAsia="Calibri" w:cs="Courier New"/>
      <w:kern w:val="0"/>
      <w:sz w:val="20"/>
      <w:szCs w:val="20"/>
      <w:lang w:val="zh-CN"/>
    </w:rPr>
  </w:style>
  <w:style w:type="paragraph" w:customStyle="1" w:styleId="206">
    <w:name w:val="flNote"/>
    <w:basedOn w:val="1"/>
    <w:autoRedefine/>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autoRedefine/>
    <w:semiHidden/>
    <w:qFormat/>
    <w:uiPriority w:val="0"/>
    <w:rPr>
      <w:rFonts w:ascii="Calibri" w:hAnsi="Calibri" w:eastAsia="Calibri" w:cs="宋体"/>
      <w:kern w:val="0"/>
      <w:sz w:val="18"/>
      <w:szCs w:val="18"/>
      <w:lang w:val="zh-CN"/>
    </w:rPr>
  </w:style>
  <w:style w:type="paragraph" w:customStyle="1" w:styleId="208">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autoRedefine/>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autoRedefine/>
    <w:qFormat/>
    <w:uiPriority w:val="0"/>
    <w:rPr>
      <w:rFonts w:ascii="Calibri" w:hAnsi="Calibri" w:eastAsia="Calibri" w:cs="宋体"/>
      <w:kern w:val="0"/>
      <w:sz w:val="20"/>
      <w:lang w:val="zh-CN"/>
    </w:rPr>
  </w:style>
  <w:style w:type="paragraph" w:customStyle="1" w:styleId="230">
    <w:name w:val="方案正文"/>
    <w:basedOn w:val="1"/>
    <w:autoRedefine/>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autoRedefine/>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autoRedefine/>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autoRedefine/>
    <w:qFormat/>
    <w:uiPriority w:val="0"/>
    <w:pPr>
      <w:spacing w:line="360" w:lineRule="auto"/>
      <w:ind w:firstLine="200" w:firstLineChars="200"/>
    </w:pPr>
    <w:rPr>
      <w:bCs/>
      <w:sz w:val="24"/>
      <w:szCs w:val="24"/>
    </w:rPr>
  </w:style>
  <w:style w:type="paragraph" w:customStyle="1" w:styleId="26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autoRedefine/>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7">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autoRedefine/>
    <w:qFormat/>
    <w:uiPriority w:val="0"/>
    <w:rPr>
      <w:rFonts w:ascii="Tahoma" w:hAnsi="Tahoma"/>
      <w:sz w:val="24"/>
    </w:rPr>
  </w:style>
  <w:style w:type="paragraph" w:customStyle="1" w:styleId="269">
    <w:name w:val="Char Char Char Char Char Char Char Char Char Char Char Char Char Char Char Char Char Char Char Char Char"/>
    <w:basedOn w:val="1"/>
    <w:autoRedefine/>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autoRedefine/>
    <w:qFormat/>
    <w:uiPriority w:val="0"/>
    <w:pPr>
      <w:ind w:right="-134" w:rightChars="-64"/>
    </w:pPr>
    <w:rPr>
      <w:bCs w:val="0"/>
      <w:lang w:val="en-US"/>
    </w:rPr>
  </w:style>
  <w:style w:type="paragraph" w:styleId="273">
    <w:name w:val="List Paragraph"/>
    <w:basedOn w:val="1"/>
    <w:autoRedefine/>
    <w:qFormat/>
    <w:uiPriority w:val="1"/>
    <w:pPr>
      <w:ind w:firstLine="420" w:firstLineChars="200"/>
    </w:pPr>
    <w:rPr>
      <w:szCs w:val="24"/>
    </w:rPr>
  </w:style>
  <w:style w:type="paragraph" w:customStyle="1" w:styleId="274">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autoRedefine/>
    <w:semiHidden/>
    <w:qFormat/>
    <w:uiPriority w:val="0"/>
    <w:rPr>
      <w:rFonts w:ascii="Tahoma" w:hAnsi="Tahoma" w:cs="仿宋_GB2312"/>
      <w:sz w:val="24"/>
      <w:szCs w:val="28"/>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autoRedefine/>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autoRedefine/>
    <w:qFormat/>
    <w:uiPriority w:val="0"/>
    <w:pPr>
      <w:spacing w:line="360" w:lineRule="auto"/>
      <w:jc w:val="center"/>
    </w:pPr>
    <w:rPr>
      <w:sz w:val="24"/>
    </w:rPr>
  </w:style>
  <w:style w:type="paragraph" w:customStyle="1" w:styleId="288">
    <w:name w:val="flName"/>
    <w:basedOn w:val="206"/>
    <w:autoRedefine/>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autoRedefine/>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autoRedefine/>
    <w:qFormat/>
    <w:uiPriority w:val="0"/>
    <w:rPr>
      <w:rFonts w:ascii="Tahoma" w:hAnsi="Tahoma" w:cs="Tahoma"/>
      <w:sz w:val="24"/>
    </w:rPr>
  </w:style>
  <w:style w:type="paragraph" w:customStyle="1" w:styleId="323">
    <w:name w:val="Char Char Char Char1"/>
    <w:basedOn w:val="19"/>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autoRedefine/>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autoRedefine/>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autoRedefine/>
    <w:qFormat/>
    <w:uiPriority w:val="0"/>
    <w:rPr>
      <w:rFonts w:ascii="Tahoma" w:hAnsi="Tahoma" w:cs="Tahoma"/>
      <w:sz w:val="24"/>
    </w:rPr>
  </w:style>
  <w:style w:type="paragraph" w:customStyle="1" w:styleId="333">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autoRedefine/>
    <w:qFormat/>
    <w:uiPriority w:val="0"/>
    <w:pPr>
      <w:ind w:firstLine="480" w:firstLineChars="200"/>
    </w:pPr>
  </w:style>
  <w:style w:type="paragraph" w:customStyle="1" w:styleId="33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autoRedefine/>
    <w:qFormat/>
    <w:uiPriority w:val="0"/>
    <w:pPr>
      <w:tabs>
        <w:tab w:val="left" w:pos="360"/>
      </w:tabs>
      <w:ind w:left="200" w:hanging="200" w:hangingChars="200"/>
    </w:pPr>
    <w:rPr>
      <w:sz w:val="24"/>
      <w:szCs w:val="24"/>
    </w:rPr>
  </w:style>
  <w:style w:type="paragraph" w:customStyle="1" w:styleId="340">
    <w:name w:val="font11"/>
    <w:basedOn w:val="1"/>
    <w:autoRedefine/>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autoRedefine/>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autoRedefine/>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autoRedefine/>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autoRedefine/>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autoRedefine/>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autoRedefine/>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autoRedefine/>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autoRedefine/>
    <w:qFormat/>
    <w:uiPriority w:val="0"/>
    <w:rPr>
      <w:rFonts w:ascii="Tahoma" w:hAnsi="Tahoma"/>
      <w:sz w:val="24"/>
    </w:rPr>
  </w:style>
  <w:style w:type="paragraph" w:customStyle="1" w:styleId="410">
    <w:name w:val="Char Char3"/>
    <w:basedOn w:val="1"/>
    <w:autoRedefine/>
    <w:qFormat/>
    <w:uiPriority w:val="0"/>
    <w:rPr>
      <w:rFonts w:ascii="Tahoma" w:hAnsi="Tahoma"/>
      <w:sz w:val="24"/>
    </w:rPr>
  </w:style>
  <w:style w:type="paragraph" w:customStyle="1" w:styleId="4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autoRedefine/>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autoRedefine/>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24105</Words>
  <Characters>25594</Characters>
  <Lines>205</Lines>
  <Paragraphs>57</Paragraphs>
  <TotalTime>19</TotalTime>
  <ScaleCrop>false</ScaleCrop>
  <LinksUpToDate>false</LinksUpToDate>
  <CharactersWithSpaces>27191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陶震寰</cp:lastModifiedBy>
  <dcterms:modified xsi:type="dcterms:W3CDTF">2024-03-12T09:02:09Z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02F52A00074C4D2BAF88218F2DB7BF94_13</vt:lpwstr>
  </property>
</Properties>
</file>